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8A" w:rsidRPr="00B84AB1" w:rsidRDefault="00461D8A" w:rsidP="00B84AB1">
      <w:pPr>
        <w:ind w:firstLine="0"/>
        <w:jc w:val="center"/>
        <w:rPr>
          <w:rFonts w:cs="Arial"/>
        </w:rPr>
      </w:pPr>
    </w:p>
    <w:p w:rsidR="00B54801" w:rsidRPr="00B84AB1" w:rsidRDefault="00B54801" w:rsidP="00B84AB1">
      <w:pPr>
        <w:ind w:firstLine="0"/>
        <w:jc w:val="center"/>
        <w:rPr>
          <w:rFonts w:cs="Arial"/>
        </w:rPr>
      </w:pPr>
      <w:r w:rsidRPr="00B84AB1">
        <w:rPr>
          <w:rFonts w:cs="Arial"/>
        </w:rPr>
        <w:t>КРАСНОДАРСКИЙ КРАЙ</w:t>
      </w:r>
    </w:p>
    <w:p w:rsidR="00B54801" w:rsidRPr="00B84AB1" w:rsidRDefault="00B54801" w:rsidP="00B84AB1">
      <w:pPr>
        <w:ind w:firstLine="0"/>
        <w:jc w:val="center"/>
        <w:rPr>
          <w:rFonts w:cs="Arial"/>
        </w:rPr>
      </w:pPr>
      <w:r w:rsidRPr="00B84AB1">
        <w:rPr>
          <w:rFonts w:cs="Arial"/>
        </w:rPr>
        <w:t>ТБИЛИССКИЙ РАЙОН</w:t>
      </w:r>
    </w:p>
    <w:p w:rsidR="00825994" w:rsidRPr="00B84AB1" w:rsidRDefault="00B54801" w:rsidP="00B84AB1">
      <w:pPr>
        <w:ind w:firstLine="0"/>
        <w:jc w:val="center"/>
        <w:rPr>
          <w:rFonts w:cs="Arial"/>
        </w:rPr>
      </w:pPr>
      <w:r w:rsidRPr="00B84AB1">
        <w:rPr>
          <w:rFonts w:cs="Arial"/>
        </w:rPr>
        <w:t>СОВЕТ</w:t>
      </w:r>
      <w:r w:rsidR="00825994" w:rsidRPr="00B84AB1">
        <w:rPr>
          <w:rFonts w:cs="Arial"/>
        </w:rPr>
        <w:t xml:space="preserve"> </w:t>
      </w:r>
      <w:r w:rsidRPr="00B84AB1">
        <w:rPr>
          <w:rFonts w:cs="Arial"/>
        </w:rPr>
        <w:t>ЛОВЛИНСКОГО СЕЛЬСКОГО ПОСЕЛЕНИЯ</w:t>
      </w:r>
    </w:p>
    <w:p w:rsidR="00B54801" w:rsidRPr="00B84AB1" w:rsidRDefault="00B54801" w:rsidP="00B84AB1">
      <w:pPr>
        <w:ind w:firstLine="0"/>
        <w:jc w:val="center"/>
        <w:rPr>
          <w:rFonts w:cs="Arial"/>
        </w:rPr>
      </w:pPr>
      <w:r w:rsidRPr="00B84AB1">
        <w:rPr>
          <w:rFonts w:cs="Arial"/>
        </w:rPr>
        <w:t>ТБИЛИССКОГО РАЙОНА</w:t>
      </w:r>
    </w:p>
    <w:p w:rsidR="00B54801" w:rsidRPr="00B84AB1" w:rsidRDefault="00B54801" w:rsidP="00B84AB1">
      <w:pPr>
        <w:ind w:firstLine="0"/>
        <w:jc w:val="center"/>
        <w:rPr>
          <w:rFonts w:cs="Arial"/>
        </w:rPr>
      </w:pPr>
    </w:p>
    <w:p w:rsidR="00B54801" w:rsidRPr="00B84AB1" w:rsidRDefault="00B54801" w:rsidP="00B84AB1">
      <w:pPr>
        <w:ind w:firstLine="0"/>
        <w:jc w:val="center"/>
        <w:rPr>
          <w:rFonts w:cs="Arial"/>
        </w:rPr>
      </w:pPr>
      <w:r w:rsidRPr="00B84AB1">
        <w:rPr>
          <w:rFonts w:cs="Arial"/>
        </w:rPr>
        <w:t>РЕШЕНИЕ</w:t>
      </w:r>
    </w:p>
    <w:p w:rsidR="00B54801" w:rsidRPr="00B84AB1" w:rsidRDefault="00B54801" w:rsidP="00B84AB1">
      <w:pPr>
        <w:ind w:firstLine="0"/>
        <w:jc w:val="center"/>
        <w:rPr>
          <w:rFonts w:cs="Arial"/>
        </w:rPr>
      </w:pPr>
    </w:p>
    <w:p w:rsidR="00D27FE4" w:rsidRDefault="00D27FE4" w:rsidP="00D27FE4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</w:t>
      </w:r>
      <w:r>
        <w:rPr>
          <w:rFonts w:cs="Arial"/>
        </w:rPr>
        <w:tab/>
      </w:r>
      <w:r>
        <w:rPr>
          <w:rFonts w:cs="Arial"/>
        </w:rPr>
        <w:tab/>
        <w:t xml:space="preserve"> ст. </w:t>
      </w:r>
      <w:proofErr w:type="spellStart"/>
      <w:r>
        <w:rPr>
          <w:rFonts w:cs="Arial"/>
        </w:rPr>
        <w:t>Ловлинская</w:t>
      </w:r>
      <w:proofErr w:type="spellEnd"/>
    </w:p>
    <w:p w:rsidR="00B54801" w:rsidRPr="00B84AB1" w:rsidRDefault="00B54801" w:rsidP="00B84AB1">
      <w:pPr>
        <w:ind w:firstLine="0"/>
        <w:jc w:val="center"/>
        <w:rPr>
          <w:rFonts w:cs="Arial"/>
        </w:rPr>
      </w:pPr>
      <w:bookmarkStart w:id="0" w:name="_GoBack"/>
      <w:bookmarkEnd w:id="0"/>
    </w:p>
    <w:p w:rsidR="00461D8A" w:rsidRPr="00B84AB1" w:rsidRDefault="00983C9F" w:rsidP="00B84AB1">
      <w:pPr>
        <w:ind w:firstLine="0"/>
        <w:jc w:val="center"/>
        <w:rPr>
          <w:rFonts w:cs="Arial"/>
          <w:b/>
          <w:sz w:val="32"/>
          <w:szCs w:val="32"/>
        </w:rPr>
      </w:pPr>
      <w:r w:rsidRPr="00B84AB1">
        <w:rPr>
          <w:rFonts w:cs="Arial"/>
          <w:b/>
          <w:sz w:val="32"/>
          <w:szCs w:val="32"/>
        </w:rPr>
        <w:t>О внесении изменений и дополнений</w:t>
      </w:r>
      <w:r w:rsidR="00825994" w:rsidRPr="00B84AB1">
        <w:rPr>
          <w:rFonts w:cs="Arial"/>
          <w:b/>
          <w:sz w:val="32"/>
          <w:szCs w:val="32"/>
        </w:rPr>
        <w:t xml:space="preserve"> </w:t>
      </w:r>
      <w:r w:rsidRPr="00B84AB1">
        <w:rPr>
          <w:rFonts w:cs="Arial"/>
          <w:b/>
          <w:sz w:val="32"/>
          <w:szCs w:val="32"/>
        </w:rPr>
        <w:t xml:space="preserve">в решение Совета </w:t>
      </w:r>
      <w:proofErr w:type="spellStart"/>
      <w:r w:rsidRPr="00B84AB1">
        <w:rPr>
          <w:rFonts w:cs="Arial"/>
          <w:b/>
          <w:sz w:val="32"/>
          <w:szCs w:val="32"/>
        </w:rPr>
        <w:t>Ловлинского</w:t>
      </w:r>
      <w:proofErr w:type="spellEnd"/>
      <w:r w:rsidRPr="00B84AB1">
        <w:rPr>
          <w:rFonts w:cs="Arial"/>
          <w:b/>
          <w:sz w:val="32"/>
          <w:szCs w:val="32"/>
        </w:rPr>
        <w:t xml:space="preserve"> сельского поселения Тбилисского района от 17 апреля 2020 года № 34</w:t>
      </w:r>
      <w:r w:rsidR="00B54801" w:rsidRPr="00B84AB1">
        <w:rPr>
          <w:rFonts w:cs="Arial"/>
          <w:b/>
          <w:sz w:val="32"/>
          <w:szCs w:val="32"/>
        </w:rPr>
        <w:t xml:space="preserve"> </w:t>
      </w:r>
      <w:r w:rsidRPr="00B84AB1">
        <w:rPr>
          <w:rFonts w:cs="Arial"/>
          <w:b/>
          <w:sz w:val="32"/>
          <w:szCs w:val="32"/>
        </w:rPr>
        <w:t xml:space="preserve">«Об утверждении Правил благоустройства территории </w:t>
      </w:r>
      <w:proofErr w:type="spellStart"/>
      <w:r w:rsidRPr="00B84AB1">
        <w:rPr>
          <w:rFonts w:cs="Arial"/>
          <w:b/>
          <w:sz w:val="32"/>
          <w:szCs w:val="32"/>
        </w:rPr>
        <w:t>Ловлинского</w:t>
      </w:r>
      <w:proofErr w:type="spellEnd"/>
      <w:r w:rsidRPr="00B84AB1">
        <w:rPr>
          <w:rFonts w:cs="Arial"/>
          <w:b/>
          <w:sz w:val="32"/>
          <w:szCs w:val="32"/>
        </w:rPr>
        <w:t xml:space="preserve"> сельского поселения Тбилисского района»</w:t>
      </w:r>
    </w:p>
    <w:p w:rsidR="00461D8A" w:rsidRPr="00B84AB1" w:rsidRDefault="00461D8A" w:rsidP="00B84AB1">
      <w:pPr>
        <w:ind w:firstLine="0"/>
        <w:jc w:val="center"/>
        <w:rPr>
          <w:rFonts w:cs="Arial"/>
        </w:rPr>
      </w:pPr>
    </w:p>
    <w:p w:rsidR="00461D8A" w:rsidRPr="00B84AB1" w:rsidRDefault="00461D8A" w:rsidP="00B84AB1">
      <w:pPr>
        <w:ind w:firstLine="0"/>
        <w:jc w:val="center"/>
        <w:rPr>
          <w:rFonts w:cs="Arial"/>
        </w:rPr>
      </w:pPr>
    </w:p>
    <w:p w:rsidR="00461D8A" w:rsidRPr="00B84AB1" w:rsidRDefault="00983C9F" w:rsidP="00B84AB1">
      <w:r w:rsidRPr="00B84AB1">
        <w:t>В</w:t>
      </w:r>
      <w:r w:rsidR="00825994" w:rsidRPr="00B84AB1">
        <w:t xml:space="preserve"> </w:t>
      </w:r>
      <w:r w:rsidRPr="00B84AB1">
        <w:t>соответствии с приказом Минстроя России от 29 декабря 2021 года</w:t>
      </w:r>
      <w:r w:rsidR="00825994" w:rsidRPr="00B84AB1">
        <w:t xml:space="preserve"> </w:t>
      </w:r>
      <w:r w:rsidRPr="00B84AB1">
        <w:t>№ 1042/</w:t>
      </w:r>
      <w:proofErr w:type="spellStart"/>
      <w:proofErr w:type="gramStart"/>
      <w:r w:rsidRPr="00B84AB1">
        <w:t>пр</w:t>
      </w:r>
      <w:proofErr w:type="spellEnd"/>
      <w:proofErr w:type="gramEnd"/>
      <w:r w:rsidRPr="00B84AB1">
        <w:t xml:space="preserve"> «Об утверждении методических рекомендаций по разработке норм и правил по благоустройству территорий муниципальных образований», руководствуясь</w:t>
      </w:r>
      <w:r w:rsidR="00825994" w:rsidRPr="00B84AB1">
        <w:t xml:space="preserve"> </w:t>
      </w:r>
      <w:r w:rsidRPr="00B84AB1">
        <w:t xml:space="preserve">статьей 26 Устава </w:t>
      </w:r>
      <w:proofErr w:type="spellStart"/>
      <w:r w:rsidRPr="00B84AB1">
        <w:t>Ловлинского</w:t>
      </w:r>
      <w:proofErr w:type="spellEnd"/>
      <w:r w:rsidRPr="00B84AB1">
        <w:t xml:space="preserve"> сельского поселения Тбилисского района, Совет </w:t>
      </w:r>
      <w:proofErr w:type="spellStart"/>
      <w:r w:rsidRPr="00B84AB1">
        <w:t>Ловлинского</w:t>
      </w:r>
      <w:proofErr w:type="spellEnd"/>
      <w:r w:rsidRPr="00B84AB1">
        <w:t xml:space="preserve"> сельского поселения Тбилисского района решил:</w:t>
      </w:r>
    </w:p>
    <w:p w:rsidR="00461D8A" w:rsidRPr="00B84AB1" w:rsidRDefault="00983C9F" w:rsidP="00B84AB1">
      <w:r w:rsidRPr="00B84AB1">
        <w:t xml:space="preserve">1. Внести в решение Совета </w:t>
      </w:r>
      <w:proofErr w:type="spellStart"/>
      <w:r w:rsidRPr="00B84AB1">
        <w:t>Ловлинского</w:t>
      </w:r>
      <w:proofErr w:type="spellEnd"/>
      <w:r w:rsidRPr="00B84AB1">
        <w:t xml:space="preserve"> сельского поселения Тбилисского района от 17 апреля 2020 года № 34 «Об утверждении Правил благоустройства территории </w:t>
      </w:r>
      <w:proofErr w:type="spellStart"/>
      <w:r w:rsidRPr="00B84AB1">
        <w:t>Ловлинского</w:t>
      </w:r>
      <w:proofErr w:type="spellEnd"/>
      <w:r w:rsidRPr="00B84AB1">
        <w:t xml:space="preserve"> сельского поселения Тбилисского района» следующие изменения и дополнения:</w:t>
      </w:r>
    </w:p>
    <w:p w:rsidR="00461D8A" w:rsidRPr="00B84AB1" w:rsidRDefault="00825994" w:rsidP="00B84AB1">
      <w:r w:rsidRPr="00B84AB1">
        <w:t xml:space="preserve"> </w:t>
      </w:r>
      <w:r w:rsidR="00983C9F" w:rsidRPr="00B84AB1">
        <w:t>1.1. Раздел 3 «Порядок содержания зеленых насаждений» дополнить пунктом</w:t>
      </w:r>
      <w:r w:rsidRPr="00B84AB1">
        <w:t xml:space="preserve"> </w:t>
      </w:r>
      <w:r w:rsidR="00983C9F" w:rsidRPr="00B84AB1">
        <w:t>3.5</w:t>
      </w:r>
      <w:r w:rsidRPr="00B84AB1">
        <w:t xml:space="preserve"> </w:t>
      </w:r>
      <w:r w:rsidR="00983C9F" w:rsidRPr="00B84AB1">
        <w:t>следующего содержания:</w:t>
      </w:r>
    </w:p>
    <w:p w:rsidR="00461D8A" w:rsidRPr="00B84AB1" w:rsidRDefault="00983C9F" w:rsidP="00B84AB1">
      <w:r w:rsidRPr="00B84AB1">
        <w:t>«3.5. Зоны отдыха</w:t>
      </w:r>
    </w:p>
    <w:p w:rsidR="00461D8A" w:rsidRPr="00B84AB1" w:rsidRDefault="00983C9F" w:rsidP="00B84AB1">
      <w:r w:rsidRPr="00B84AB1">
        <w:t>Зоны отдыха - территории, предназначенные и обустроенные для организации активного массового отдыха и рекреации.</w:t>
      </w:r>
    </w:p>
    <w:p w:rsidR="00461D8A" w:rsidRPr="00B84AB1" w:rsidRDefault="00983C9F" w:rsidP="00B84AB1">
      <w:r w:rsidRPr="00B84AB1">
        <w:t>Обязательный перечень элементов благоустройства на территории зоны отдыха включает: твердые виды покрытия проезда, озеленение, скамьи, урны, малые контейнеры для мусора, оборудование пляжа.</w:t>
      </w:r>
    </w:p>
    <w:p w:rsidR="00461D8A" w:rsidRPr="00B84AB1" w:rsidRDefault="00983C9F" w:rsidP="00B84AB1">
      <w:r w:rsidRPr="00B84AB1">
        <w:t>При проектировании озеленения рекомендуется обеспечивать:</w:t>
      </w:r>
    </w:p>
    <w:p w:rsidR="00461D8A" w:rsidRPr="00B84AB1" w:rsidRDefault="00983C9F" w:rsidP="00B84AB1">
      <w:r w:rsidRPr="00B84AB1">
        <w:t>- сохранение травяного покрова, древесно-кустарниковой и прибрежной растительности не менее</w:t>
      </w:r>
      <w:proofErr w:type="gramStart"/>
      <w:r w:rsidRPr="00B84AB1">
        <w:t>,</w:t>
      </w:r>
      <w:proofErr w:type="gramEnd"/>
      <w:r w:rsidRPr="00B84AB1">
        <w:t xml:space="preserve"> чем на 80 % общей площади зоны отдыха;</w:t>
      </w:r>
    </w:p>
    <w:p w:rsidR="00461D8A" w:rsidRPr="00B84AB1" w:rsidRDefault="00983C9F" w:rsidP="00B84AB1">
      <w:r w:rsidRPr="00B84AB1">
        <w:t>-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461D8A" w:rsidRPr="00B84AB1" w:rsidRDefault="00983C9F" w:rsidP="00B84AB1">
      <w:r w:rsidRPr="00B84AB1">
        <w:t>-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461D8A" w:rsidRPr="00B84AB1" w:rsidRDefault="00983C9F" w:rsidP="00B84AB1">
      <w:r w:rsidRPr="00B84AB1">
        <w:t>Возможно размещение ограждения, уличного технического оборудования (торговые тележки "вода", "мороженое")</w:t>
      </w:r>
      <w:proofErr w:type="gramStart"/>
      <w:r w:rsidRPr="00B84AB1">
        <w:t>.»</w:t>
      </w:r>
      <w:proofErr w:type="gramEnd"/>
      <w:r w:rsidRPr="00B84AB1">
        <w:t>.</w:t>
      </w:r>
    </w:p>
    <w:p w:rsidR="00461D8A" w:rsidRPr="00B84AB1" w:rsidRDefault="00983C9F" w:rsidP="00B84AB1">
      <w:r w:rsidRPr="00B84AB1">
        <w:t>1.2. В раздел 5 «Внешнее благоустройство зданий, ремонт и содержание жилых культурно-бытовых, общественных зданий и сооружений»</w:t>
      </w:r>
      <w:r w:rsidR="00825994" w:rsidRPr="00B84AB1">
        <w:t xml:space="preserve"> </w:t>
      </w:r>
      <w:r w:rsidRPr="00B84AB1">
        <w:t>внести следующие изменения:</w:t>
      </w:r>
    </w:p>
    <w:p w:rsidR="00461D8A" w:rsidRPr="00B84AB1" w:rsidRDefault="00983C9F" w:rsidP="00B84AB1">
      <w:r w:rsidRPr="00B84AB1">
        <w:t>1.2.1. Пункт 5.3 изложить в новой редакции:</w:t>
      </w:r>
    </w:p>
    <w:p w:rsidR="00461D8A" w:rsidRPr="00B84AB1" w:rsidRDefault="00983C9F" w:rsidP="00B84AB1">
      <w:r w:rsidRPr="00B84AB1">
        <w:t>«5.3. Все системы уличного, дворового и другого наружного освещения, должны поддерживаться в исправном состоянии.</w:t>
      </w:r>
    </w:p>
    <w:p w:rsidR="00461D8A" w:rsidRPr="00B84AB1" w:rsidRDefault="00983C9F" w:rsidP="00B84AB1">
      <w:r w:rsidRPr="00B84AB1">
        <w:lastRenderedPageBreak/>
        <w:t xml:space="preserve">На территории </w:t>
      </w:r>
      <w:proofErr w:type="spellStart"/>
      <w:r w:rsidRPr="00B84AB1">
        <w:t>Ловлинского</w:t>
      </w:r>
      <w:proofErr w:type="spellEnd"/>
      <w:r w:rsidR="00825994" w:rsidRPr="00B84AB1">
        <w:t xml:space="preserve"> </w:t>
      </w:r>
      <w:r w:rsidRPr="00B84AB1">
        <w:t>сельского поселения Тбилисского района осветительные установки должны обеспечивать:</w:t>
      </w:r>
    </w:p>
    <w:p w:rsidR="00461D8A" w:rsidRPr="00B84AB1" w:rsidRDefault="00983C9F" w:rsidP="00B84AB1">
      <w:r w:rsidRPr="00B84AB1">
        <w:t xml:space="preserve">а) количественные и качественные показатели, предусмотренные нормами Свода правил, СНиП </w:t>
      </w:r>
      <w:proofErr w:type="gramStart"/>
      <w:r w:rsidRPr="00B84AB1">
        <w:t>о</w:t>
      </w:r>
      <w:proofErr w:type="gramEnd"/>
      <w:r w:rsidRPr="00B84AB1">
        <w:t xml:space="preserve"> искусственном освещении селитебных территорий и наружного архитектурного освещения;</w:t>
      </w:r>
    </w:p>
    <w:p w:rsidR="00461D8A" w:rsidRPr="00B84AB1" w:rsidRDefault="00983C9F" w:rsidP="00B84AB1">
      <w:r w:rsidRPr="00B84AB1">
        <w:t>б)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461D8A" w:rsidRPr="00B84AB1" w:rsidRDefault="00983C9F" w:rsidP="00B84AB1">
      <w:r w:rsidRPr="00B84AB1">
        <w:t xml:space="preserve">в) экономичность и </w:t>
      </w:r>
      <w:proofErr w:type="spellStart"/>
      <w:r w:rsidRPr="00B84AB1">
        <w:t>энергоэффективность</w:t>
      </w:r>
      <w:proofErr w:type="spellEnd"/>
      <w:r w:rsidRPr="00B84AB1">
        <w:t xml:space="preserve"> применяемых установок, рациональное распределение и использование электроэнергии;</w:t>
      </w:r>
    </w:p>
    <w:p w:rsidR="00461D8A" w:rsidRPr="00B84AB1" w:rsidRDefault="00983C9F" w:rsidP="00B84AB1">
      <w:r w:rsidRPr="00B84AB1">
        <w:t>г)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461D8A" w:rsidRPr="00B84AB1" w:rsidRDefault="00983C9F" w:rsidP="00B84AB1">
      <w:r w:rsidRPr="00B84AB1">
        <w:t>д) удобство обслуживания и управления при разных режимах работы установок.</w:t>
      </w:r>
    </w:p>
    <w:p w:rsidR="00461D8A" w:rsidRPr="00B84AB1" w:rsidRDefault="00983C9F" w:rsidP="00B84AB1">
      <w:r w:rsidRPr="00B84AB1">
        <w:t>Площади, улицы, проезды, автомобильные дороги, скверы, пляжи, парки, другие территории общего пользования должны освещаться в темное время суток.</w:t>
      </w:r>
    </w:p>
    <w:p w:rsidR="00461D8A" w:rsidRPr="00B84AB1" w:rsidRDefault="00983C9F" w:rsidP="00B84AB1">
      <w:r w:rsidRPr="00B84AB1">
        <w:t>Не допускается самовольное подсоединение и подключение проводов и кабелей к сетям и устройствам наружного освещения.</w:t>
      </w:r>
    </w:p>
    <w:p w:rsidR="00461D8A" w:rsidRPr="00B84AB1" w:rsidRDefault="00983C9F" w:rsidP="00B84AB1">
      <w:r w:rsidRPr="00B84AB1">
        <w:rPr>
          <w:rFonts w:eastAsia="Calibri"/>
        </w:rPr>
        <w:t xml:space="preserve">На территории </w:t>
      </w:r>
      <w:proofErr w:type="spellStart"/>
      <w:r w:rsidRPr="00B84AB1">
        <w:rPr>
          <w:rFonts w:eastAsia="Calibri"/>
        </w:rPr>
        <w:t>Ловлинского</w:t>
      </w:r>
      <w:proofErr w:type="spellEnd"/>
      <w:r w:rsidRPr="00B84AB1">
        <w:rPr>
          <w:rFonts w:eastAsia="Calibri"/>
        </w:rPr>
        <w:t xml:space="preserve"> сельского поселения Тбилисского района применяются следующие виды наружного освещения: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 xml:space="preserve"> - уличное (утилитарное) освещение - освещение проезжей части дорог, улиц, площадей, территорий спортивных сооружений, находящихся в муниципальной собственности, с целью обеспечения безопасного движения автотранспорта и пешеходов, для общей ориентации на территории городского поселения;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- архитектурно-художественное освещение - освещение фасадов зданий, сооружений, произведений монументального искусства для выявления их архитектурно-художественных особенностей и эстетической выразительности;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- рекламное и информационное освещение - освещение рекламных конструкций и объектов городской наружной информации;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- световые сигналы, указывающие транспорту и пешеходам направления движения.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 Установки архитектурно-художественного освещения должны иметь два режима работы: повседневный и праздничный.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 Проект наружного освещения для всех строящихся и реконструируемых (реставрируемых) зданий, сооружений и комплексов вне зависимости от места их размещения разрабатывается в соответствии с концепцией архитектурно-художественного освещения.</w:t>
      </w:r>
    </w:p>
    <w:p w:rsidR="00461D8A" w:rsidRPr="00B84AB1" w:rsidRDefault="00983C9F" w:rsidP="00B84AB1">
      <w:r w:rsidRPr="00B84AB1">
        <w:rPr>
          <w:rFonts w:eastAsia="Calibri"/>
        </w:rPr>
        <w:t xml:space="preserve">На территории </w:t>
      </w:r>
      <w:proofErr w:type="spellStart"/>
      <w:r w:rsidRPr="00B84AB1">
        <w:rPr>
          <w:rFonts w:eastAsia="Calibri"/>
        </w:rPr>
        <w:t>Ловлинского</w:t>
      </w:r>
      <w:proofErr w:type="spellEnd"/>
      <w:r w:rsidRPr="00B84AB1">
        <w:rPr>
          <w:rFonts w:eastAsia="Calibri"/>
        </w:rPr>
        <w:t xml:space="preserve"> сельского поселения применяются осветительные установки: функциональное освещение, архитектурное освещение, световая информация.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 xml:space="preserve">При проектировании каждой из групп осветительных установок необходимо обеспечить экономичность и </w:t>
      </w:r>
      <w:proofErr w:type="spellStart"/>
      <w:r w:rsidRPr="00B84AB1">
        <w:rPr>
          <w:rFonts w:eastAsia="Calibri"/>
        </w:rPr>
        <w:t>энергоэффективность</w:t>
      </w:r>
      <w:proofErr w:type="spellEnd"/>
      <w:r w:rsidRPr="00B84AB1">
        <w:rPr>
          <w:rFonts w:eastAsia="Calibri"/>
        </w:rPr>
        <w:t xml:space="preserve"> применяемых установок, рациональное распределение и использование электроэнергии.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Функциональное освещение применяется для освещения дорожных покрытий и простран</w:t>
      </w:r>
      <w:proofErr w:type="gramStart"/>
      <w:r w:rsidRPr="00B84AB1">
        <w:rPr>
          <w:rFonts w:eastAsia="Calibri"/>
        </w:rPr>
        <w:t>ств в тр</w:t>
      </w:r>
      <w:proofErr w:type="gramEnd"/>
      <w:r w:rsidRPr="00B84AB1">
        <w:rPr>
          <w:rFonts w:eastAsia="Calibri"/>
        </w:rPr>
        <w:t xml:space="preserve">анспортных и пешеходных зонах. </w:t>
      </w:r>
      <w:proofErr w:type="gramStart"/>
      <w:r w:rsidRPr="00B84AB1">
        <w:rPr>
          <w:rFonts w:eastAsia="Calibri"/>
        </w:rPr>
        <w:t>Вид применяемых на территории города стационарных установок функционального освещения: обычные.</w:t>
      </w:r>
      <w:proofErr w:type="gramEnd"/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В обычных установках светильники располагаются на опорах (венчающие, консольные), фасадах (бра, плафоны). Обычные установки устанавливаются в транспортных и пешеходных зонах.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Архитектурное освещение применяется для формирования художественно-выразительной визуальной среды в вечернее время, выявления из темноты и образной интерпретации памятников истории.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lastRenderedPageBreak/>
        <w:t>К временным установкам архитектурного освещения относится праздничная иллюминация, предусмотренная разделом 16 настоящих Правил.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В целях архитектурного освещения могут использоваться также установки функционального освещения световой информации и рекламы, элементы которых могут крепиться на опорах уличных светильников.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Световая информация, в том числе световая реклама, применяется для ориентации пешеходов и водителей автотранспорта в пространстве.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 xml:space="preserve">В стационарных установках функционального освещения и архитектурного освещения должны применяться </w:t>
      </w:r>
      <w:proofErr w:type="spellStart"/>
      <w:r w:rsidRPr="00B84AB1">
        <w:rPr>
          <w:rFonts w:eastAsia="Calibri"/>
        </w:rPr>
        <w:t>энергоэффективные</w:t>
      </w:r>
      <w:proofErr w:type="spellEnd"/>
      <w:r w:rsidRPr="00B84AB1">
        <w:rPr>
          <w:rFonts w:eastAsia="Calibri"/>
        </w:rPr>
        <w:t xml:space="preserve"> источники света: опоры, кронштейны, защитные решетки, экраны и конструктивные элементы, отвечающие требованиям национальных стандартов.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Режимы работы осветительных установок.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В темное время суток предусматриваются следующие режимы работы осветительных установок: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- вечерний будничный режим, когда функционируют все стационарные установки функционального освещения, архитектурного освещения и световой информации, за исключением систем праздничного освещения;</w:t>
      </w:r>
    </w:p>
    <w:p w:rsidR="00461D8A" w:rsidRPr="00B84AB1" w:rsidRDefault="00825994" w:rsidP="00B84AB1">
      <w:r w:rsidRPr="00B84AB1">
        <w:rPr>
          <w:rFonts w:eastAsia="Calibri"/>
        </w:rPr>
        <w:t xml:space="preserve">- </w:t>
      </w:r>
      <w:r w:rsidR="00983C9F" w:rsidRPr="00B84AB1">
        <w:rPr>
          <w:rFonts w:eastAsia="Calibri"/>
        </w:rPr>
        <w:t>праздничный режим, когда функционируют все стационарные и временные осветительные установки</w:t>
      </w:r>
      <w:proofErr w:type="gramStart"/>
      <w:r w:rsidR="00983C9F" w:rsidRPr="00B84AB1">
        <w:rPr>
          <w:rFonts w:eastAsia="Calibri"/>
        </w:rPr>
        <w:t>.».</w:t>
      </w:r>
      <w:proofErr w:type="gramEnd"/>
    </w:p>
    <w:p w:rsidR="00461D8A" w:rsidRPr="00B84AB1" w:rsidRDefault="00983C9F" w:rsidP="00B84AB1">
      <w:r w:rsidRPr="00B84AB1">
        <w:rPr>
          <w:rFonts w:eastAsia="Calibri"/>
        </w:rPr>
        <w:t>1.2.2. Дополнить пунктом 5.10. следующего содержания:</w:t>
      </w:r>
    </w:p>
    <w:p w:rsidR="00461D8A" w:rsidRPr="00B84AB1" w:rsidRDefault="00983C9F" w:rsidP="00B84AB1">
      <w:r w:rsidRPr="00B84AB1">
        <w:rPr>
          <w:rFonts w:eastAsia="Calibri"/>
        </w:rPr>
        <w:t>«5.10.</w:t>
      </w:r>
      <w:r w:rsidR="00825994" w:rsidRPr="00B84AB1">
        <w:rPr>
          <w:rFonts w:eastAsia="Calibri"/>
        </w:rPr>
        <w:t xml:space="preserve"> </w:t>
      </w:r>
      <w:r w:rsidRPr="00B84AB1">
        <w:rPr>
          <w:rFonts w:eastAsia="Calibri"/>
        </w:rPr>
        <w:t>«Праздничное (событийное) оформление территории городского поселения выполняется на время государственных, общегородских праздников и нерабочих праздничных дней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Праздничное (событийное) оформление осуществляется администрацией городского поселения и иными лицами на принадлежащих им объектах.</w:t>
      </w:r>
    </w:p>
    <w:p w:rsidR="00461D8A" w:rsidRPr="00B84AB1" w:rsidRDefault="00983C9F" w:rsidP="00B84AB1">
      <w:pPr>
        <w:rPr>
          <w:rFonts w:eastAsia="Calibri"/>
        </w:rPr>
      </w:pPr>
      <w:proofErr w:type="gramStart"/>
      <w:r w:rsidRPr="00B84AB1">
        <w:rPr>
          <w:rFonts w:eastAsia="Calibri"/>
        </w:rPr>
        <w:t xml:space="preserve">Праздничное (событийное) оформление в зависимости от мероприятий включает размещение элементов праздничного оформления: флагов, лозунгов, гирлянд, панно, установку декоративных элементов и композиций, искусственных и живых елей, стендов, трибун, эстрад, афиш, а также праздничной иллюминации: световых гирлянд, сеток, контурных обтяжек, </w:t>
      </w:r>
      <w:proofErr w:type="spellStart"/>
      <w:r w:rsidRPr="00B84AB1">
        <w:rPr>
          <w:rFonts w:eastAsia="Calibri"/>
        </w:rPr>
        <w:t>светографических</w:t>
      </w:r>
      <w:proofErr w:type="spellEnd"/>
      <w:r w:rsidRPr="00B84AB1">
        <w:rPr>
          <w:rFonts w:eastAsia="Calibri"/>
        </w:rPr>
        <w:t xml:space="preserve"> элементов, световых панно и объемных композиций из ламп накаливания, разрядных, светодиодов, </w:t>
      </w:r>
      <w:proofErr w:type="spellStart"/>
      <w:r w:rsidRPr="00B84AB1">
        <w:rPr>
          <w:rFonts w:eastAsia="Calibri"/>
        </w:rPr>
        <w:t>световодов</w:t>
      </w:r>
      <w:proofErr w:type="spellEnd"/>
      <w:r w:rsidRPr="00B84AB1">
        <w:rPr>
          <w:rFonts w:eastAsia="Calibri"/>
        </w:rPr>
        <w:t>, световых проекций, лазерных рисунков.</w:t>
      </w:r>
      <w:proofErr w:type="gramEnd"/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Размещение и демонтаж элементов праздничного оформления осуществляется в соответствии с концепцией праздничного оформления территории муниципального образования.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При изготовлении и установке элементов праздничного оформления не допускается снимать, повреждать и ухудшать видимость технических средств регулирования дорожного движения.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Не допускается размещение элементов праздничного оформления: с уменьшением ширины пешеходных коммуникаций;</w:t>
      </w:r>
    </w:p>
    <w:p w:rsidR="00461D8A" w:rsidRPr="00B84AB1" w:rsidRDefault="00983C9F" w:rsidP="00B84AB1">
      <w:pPr>
        <w:rPr>
          <w:rFonts w:eastAsia="Calibri"/>
        </w:rPr>
      </w:pPr>
      <w:proofErr w:type="gramStart"/>
      <w:r w:rsidRPr="00B84AB1">
        <w:rPr>
          <w:rFonts w:eastAsia="Calibri"/>
        </w:rPr>
        <w:t>содержащих</w:t>
      </w:r>
      <w:proofErr w:type="gramEnd"/>
      <w:r w:rsidRPr="00B84AB1">
        <w:rPr>
          <w:rFonts w:eastAsia="Calibri"/>
        </w:rPr>
        <w:t xml:space="preserve"> рекламные изображения;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 xml:space="preserve">с использованием звукового сопровождения с эквивалентным уровнем звука свыше 55 </w:t>
      </w:r>
      <w:proofErr w:type="spellStart"/>
      <w:r w:rsidRPr="00B84AB1">
        <w:rPr>
          <w:rFonts w:eastAsia="Calibri"/>
        </w:rPr>
        <w:t>дБА</w:t>
      </w:r>
      <w:proofErr w:type="spellEnd"/>
      <w:r w:rsidRPr="00B84AB1">
        <w:rPr>
          <w:rFonts w:eastAsia="Calibri"/>
        </w:rPr>
        <w:t xml:space="preserve"> в период времени с 7.00 часов до 23.00 часов и свыше 45 </w:t>
      </w:r>
      <w:proofErr w:type="spellStart"/>
      <w:r w:rsidRPr="00B84AB1">
        <w:rPr>
          <w:rFonts w:eastAsia="Calibri"/>
        </w:rPr>
        <w:t>дБА</w:t>
      </w:r>
      <w:proofErr w:type="spellEnd"/>
      <w:r w:rsidRPr="00B84AB1">
        <w:rPr>
          <w:rFonts w:eastAsia="Calibri"/>
        </w:rPr>
        <w:t xml:space="preserve"> с 23.00 часов до 7.00 часов.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 Элементы праздничного оформления могут размещаться на земельных участках, фасадах зданий, строений, сооружений, в витринах, на входных группах или в виде отдельно стоящих конструкций и композиций.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Не допускается размещение отдельно стоящих конструкций и композиций праздничного оформления: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в случаях, когда отсутствует техническая возможность заглубления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фундамента без его декоративного оформления;</w:t>
      </w:r>
    </w:p>
    <w:p w:rsidR="00461D8A" w:rsidRPr="00B84AB1" w:rsidRDefault="00825994" w:rsidP="00B84AB1">
      <w:pPr>
        <w:rPr>
          <w:rFonts w:eastAsia="Calibri"/>
        </w:rPr>
      </w:pPr>
      <w:r w:rsidRPr="00B84AB1">
        <w:rPr>
          <w:rFonts w:eastAsia="Calibri"/>
        </w:rPr>
        <w:t xml:space="preserve"> </w:t>
      </w:r>
      <w:r w:rsidR="00983C9F" w:rsidRPr="00B84AB1">
        <w:rPr>
          <w:rFonts w:eastAsia="Calibri"/>
        </w:rPr>
        <w:t>на проездах, местах, предназначенных для парковки и стоянки автомобилей;</w:t>
      </w:r>
    </w:p>
    <w:p w:rsidR="00461D8A" w:rsidRPr="00B84AB1" w:rsidRDefault="00825994" w:rsidP="00B84AB1">
      <w:r w:rsidRPr="00B84AB1">
        <w:rPr>
          <w:rFonts w:eastAsia="Calibri"/>
        </w:rPr>
        <w:lastRenderedPageBreak/>
        <w:t xml:space="preserve"> </w:t>
      </w:r>
      <w:r w:rsidR="00983C9F" w:rsidRPr="00B84AB1">
        <w:rPr>
          <w:rFonts w:eastAsia="Calibri"/>
        </w:rPr>
        <w:t>Без получения согласия правообладателя земельного участка;</w:t>
      </w:r>
    </w:p>
    <w:p w:rsidR="00461D8A" w:rsidRPr="00B84AB1" w:rsidRDefault="00825994" w:rsidP="00B84AB1">
      <w:r w:rsidRPr="00B84AB1">
        <w:rPr>
          <w:rFonts w:eastAsia="Calibri"/>
        </w:rPr>
        <w:t xml:space="preserve"> </w:t>
      </w:r>
      <w:r w:rsidR="00983C9F" w:rsidRPr="00B84AB1">
        <w:rPr>
          <w:rFonts w:eastAsia="Calibri"/>
        </w:rPr>
        <w:t>имеющих заглубленный фундамент в местах ближе 5,0 м от стволов</w:t>
      </w:r>
      <w:r w:rsidRPr="00B84AB1">
        <w:rPr>
          <w:rFonts w:eastAsia="Calibri"/>
        </w:rPr>
        <w:t xml:space="preserve"> </w:t>
      </w:r>
      <w:r w:rsidR="00983C9F" w:rsidRPr="00B84AB1">
        <w:rPr>
          <w:rFonts w:eastAsia="Calibri"/>
        </w:rPr>
        <w:t>деревьев.</w:t>
      </w:r>
    </w:p>
    <w:p w:rsidR="00461D8A" w:rsidRPr="00B84AB1" w:rsidRDefault="00825994" w:rsidP="00B84AB1">
      <w:r w:rsidRPr="00B84AB1">
        <w:rPr>
          <w:rFonts w:eastAsia="Calibri"/>
        </w:rPr>
        <w:t xml:space="preserve"> </w:t>
      </w:r>
      <w:r w:rsidR="00983C9F" w:rsidRPr="00B84AB1">
        <w:rPr>
          <w:rFonts w:eastAsia="Calibri"/>
        </w:rPr>
        <w:t>Не допускается размещение элементов праздничного оформления на элементах декора фасадов зданий, сооружений, а также с креплением, ведущим к повреждению поверхностей фасадов</w:t>
      </w:r>
      <w:proofErr w:type="gramStart"/>
      <w:r w:rsidR="00983C9F" w:rsidRPr="00B84AB1">
        <w:rPr>
          <w:rFonts w:eastAsia="Calibri"/>
        </w:rPr>
        <w:t>.».</w:t>
      </w:r>
      <w:proofErr w:type="gramEnd"/>
    </w:p>
    <w:p w:rsidR="00461D8A" w:rsidRPr="00B84AB1" w:rsidRDefault="00983C9F" w:rsidP="00B84AB1">
      <w:r w:rsidRPr="00B84AB1">
        <w:rPr>
          <w:rFonts w:eastAsia="Calibri"/>
        </w:rPr>
        <w:t>1.3. Раздел 7</w:t>
      </w:r>
      <w:r w:rsidRPr="00B84AB1">
        <w:t xml:space="preserve"> «Благоустройство автомобильных</w:t>
      </w:r>
      <w:r w:rsidR="00825994" w:rsidRPr="00B84AB1">
        <w:t xml:space="preserve"> </w:t>
      </w:r>
      <w:r w:rsidRPr="00B84AB1">
        <w:t>дорог»</w:t>
      </w:r>
      <w:r w:rsidRPr="00B84AB1">
        <w:rPr>
          <w:rFonts w:eastAsia="Calibri"/>
        </w:rPr>
        <w:t xml:space="preserve"> дополнить пунктом 7.3.5 следующего содержания: </w:t>
      </w:r>
    </w:p>
    <w:p w:rsidR="00461D8A" w:rsidRPr="00B84AB1" w:rsidRDefault="00983C9F" w:rsidP="00B84AB1">
      <w:r w:rsidRPr="00B84AB1">
        <w:rPr>
          <w:rFonts w:eastAsia="Calibri"/>
        </w:rPr>
        <w:t>«7.3.5.Пешеходные коммуникации обеспечивают пешеходные связи и передвижение на территории городского поселения.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К пешеходным коммуникациям относятся: тротуары, дорожки, тропинки.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При организации пешеходных коммуникаций должно быть обеспечено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 В системе пешеходных коммуникаций необходимо выделять основные и второстепенные пешеходные связи.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Основные 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Во всех случаях пересечения основных пешеходных коммуникаций с транспортными проездами необходимо устройство бордюрных пандусов, тротуарных съездов.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При устройстве на пешеходных коммуникациях пандусов, мостиков необходимо обеспечивать создание равновеликой пропускной способности этих элементов.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Запрещается использование существующих пешеходных коммуникаций и прилегающих к ним газонов для остановки и стоянки автотранспортных средств.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Размещение основных пешеходных коммуникаций может осуществляться вдоль улиц и дорог (тротуары) или независимо от них.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Ширина основных пешеходных коммуникаций рассчитывается в зависимости от интенсивности пешеходного движения в часы "пик" и пропускной способности одной полосы движения в соответствии с расчетом ширины пешеходных коммуникаций.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 </w:t>
      </w:r>
      <w:proofErr w:type="gramStart"/>
      <w:r w:rsidRPr="00B84AB1">
        <w:rPr>
          <w:rFonts w:eastAsia="Calibri"/>
        </w:rPr>
        <w:t>Зеленые насаждения, здания, выступающие элементы фасадов, расположенные вдоль основных пешеходных коммуникаций, не должны сокращать ширину дорожек, а также минимальную высоту свободного пространства над уровнем покрытия дорожки равную 2 м. Для вновь проектируемых и реконструируемых основных пешеходных коммуникаций при ширине 1,5 м через каждые 30 м необходимо предусматривать уширения (разъездные площадки) для обеспечения передвижения инвалидов в креслах-колясках во встречных направлениях.</w:t>
      </w:r>
      <w:proofErr w:type="gramEnd"/>
    </w:p>
    <w:p w:rsidR="00461D8A" w:rsidRPr="00B84AB1" w:rsidRDefault="00983C9F" w:rsidP="00B84AB1">
      <w:r w:rsidRPr="00B84AB1">
        <w:rPr>
          <w:rFonts w:eastAsia="Calibri"/>
        </w:rPr>
        <w:t>Ширину тротуаров следует устанавливать с учетом категорий улиц и дорог и в зависимости от размеров пешеходного движения, а также размещения в пределах тротуаров, опор, мачт, деревьев. Ширину пешеходной части тротуаров следует принимать не менее 1 м.</w:t>
      </w:r>
    </w:p>
    <w:p w:rsidR="00461D8A" w:rsidRPr="00B84AB1" w:rsidRDefault="00983C9F" w:rsidP="00B84AB1">
      <w:pPr>
        <w:rPr>
          <w:rFonts w:eastAsia="Calibri"/>
        </w:rPr>
      </w:pPr>
      <w:proofErr w:type="gramStart"/>
      <w:r w:rsidRPr="00B84AB1">
        <w:rPr>
          <w:rFonts w:eastAsia="Calibri"/>
        </w:rPr>
        <w:t>Основные пешеходные коммуникации в составе объектов рекреации с рекреационной нагрузкой более 100 чел./га должны быть оборудованы площадками для установки скамей и урн, размещая их не реже чем через каждые 100 м. Площадка должна прилегать к пешеходным дорожкам, иметь глубину не менее 120 см, расстояние от внешнего края сиденья скамьи до пешеходного пути - не менее 60 см. Длина площадки рассчитывается</w:t>
      </w:r>
      <w:proofErr w:type="gramEnd"/>
      <w:r w:rsidRPr="00B84AB1">
        <w:rPr>
          <w:rFonts w:eastAsia="Calibri"/>
        </w:rPr>
        <w:t xml:space="preserve"> на размещение как минимум одной скамьи, двух урн (малых контейнеров для мусора), а также места для инвалида-колясочника (свободное пространство шириной не менее 85 см рядом со скамьей).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lastRenderedPageBreak/>
        <w:t>Второстепенные пешеходные коммуникации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парк, лесопарк). Ширина второстепенных пешеходных коммуникаций составляет 1,0-1,5 м.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Общая ширина пешеходной коммуникации в случае размещения на ней нестационарных торговых объектов складывается из ширины пешеходной части, ширины участка, отводимого для размещения объекта, и ширины буферной зоны (не менее 0,75 м), предназначенной для посетителей и покупателей. В ширину пешеходной части тротуаров и дорожек не включаются площади, необходимые для размещения киосков, скамеек. Для вновь проектируемых пешеходных коммуникаций ширину на участках возможного встречного движения инвалидов на креслах-колясках не допускается устанавливать менее 2 м.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При непосредственном примыкании тротуаров к стенам зданий, подпорным стенкам или оградам следует увеличивать их ширину не менее чем на 0,5 м.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 xml:space="preserve">В случае необходимости расширения </w:t>
      </w:r>
      <w:proofErr w:type="gramStart"/>
      <w:r w:rsidRPr="00B84AB1">
        <w:rPr>
          <w:rFonts w:eastAsia="Calibri"/>
        </w:rPr>
        <w:t>тротуаров</w:t>
      </w:r>
      <w:proofErr w:type="gramEnd"/>
      <w:r w:rsidRPr="00B84AB1">
        <w:rPr>
          <w:rFonts w:eastAsia="Calibri"/>
        </w:rPr>
        <w:t xml:space="preserve"> возможно устраивать пешеходные галереи в составе прилегающей застройки.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Обязательный перечень элементов благоустройства территории основных пешеходных коммуникаций включает: твердые виды покрытия, элементы сопряжения поверхностей, урны или контейнеры для мусора, осветительное оборудование, скамьи (на территории рекреаций).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Обязательный перечень элементов благоустройства на второстепенных пешеходных коммуникациях включает различные виды покрытия: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 xml:space="preserve"> - на дорожках скверов устанавливаются твердые виды покрытия с элементами сопряжения, а также мощение плиткой;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 xml:space="preserve"> - на дорожках парков, лесопарков устанавливаются различные виды мягкого или комбинированного покрытий, пешеходные тропы с естественным грунтовым покрытием, в том числе для скандинавской ходьбы.</w:t>
      </w:r>
    </w:p>
    <w:p w:rsidR="00461D8A" w:rsidRPr="00B84AB1" w:rsidRDefault="00983C9F" w:rsidP="00B84AB1">
      <w:r w:rsidRPr="00B84AB1">
        <w:rPr>
          <w:rFonts w:eastAsia="Calibri"/>
        </w:rPr>
        <w:t>Стоянки для хранения велосипедов могут устраиваться в комплексе с объектами посещения</w:t>
      </w:r>
      <w:proofErr w:type="gramStart"/>
      <w:r w:rsidRPr="00B84AB1">
        <w:rPr>
          <w:rFonts w:eastAsia="Calibri"/>
        </w:rPr>
        <w:t>.».</w:t>
      </w:r>
      <w:proofErr w:type="gramEnd"/>
    </w:p>
    <w:p w:rsidR="00461D8A" w:rsidRPr="00B84AB1" w:rsidRDefault="00825994" w:rsidP="00B84AB1">
      <w:r w:rsidRPr="00B84AB1">
        <w:rPr>
          <w:rFonts w:eastAsia="Calibri"/>
        </w:rPr>
        <w:t xml:space="preserve"> </w:t>
      </w:r>
      <w:r w:rsidR="00983C9F" w:rsidRPr="00B84AB1">
        <w:rPr>
          <w:rFonts w:eastAsia="Calibri"/>
        </w:rPr>
        <w:t>1.4. Пункт 11.3. раздела 11</w:t>
      </w:r>
      <w:r w:rsidR="00983C9F" w:rsidRPr="00B84AB1">
        <w:t xml:space="preserve"> «Порядок размещения временных (некапитальных) объектов на территории</w:t>
      </w:r>
      <w:r w:rsidRPr="00B84AB1">
        <w:t xml:space="preserve"> </w:t>
      </w:r>
      <w:proofErr w:type="spellStart"/>
      <w:r w:rsidR="00983C9F" w:rsidRPr="00B84AB1">
        <w:t>Ловлинского</w:t>
      </w:r>
      <w:proofErr w:type="spellEnd"/>
      <w:r w:rsidR="00983C9F" w:rsidRPr="00B84AB1">
        <w:t xml:space="preserve"> сельского поселения Тбилисского района» </w:t>
      </w:r>
      <w:r w:rsidR="00983C9F" w:rsidRPr="00B84AB1">
        <w:rPr>
          <w:rFonts w:eastAsia="Calibri"/>
        </w:rPr>
        <w:t>изложить в новой редакции:</w:t>
      </w:r>
    </w:p>
    <w:p w:rsidR="00461D8A" w:rsidRPr="00B84AB1" w:rsidRDefault="00825994" w:rsidP="00B84AB1">
      <w:r w:rsidRPr="00B84AB1">
        <w:rPr>
          <w:rFonts w:eastAsia="Calibri"/>
        </w:rPr>
        <w:t xml:space="preserve"> </w:t>
      </w:r>
      <w:r w:rsidR="00983C9F" w:rsidRPr="00B84AB1">
        <w:rPr>
          <w:rFonts w:eastAsia="Calibri"/>
        </w:rPr>
        <w:t>«11.3.</w:t>
      </w:r>
      <w:r w:rsidR="00983C9F" w:rsidRPr="00B84AB1">
        <w:t xml:space="preserve"> К временным (некапитальным) объектам относятся:</w:t>
      </w:r>
      <w:r w:rsidRPr="00B84AB1">
        <w:t xml:space="preserve"> </w:t>
      </w:r>
    </w:p>
    <w:p w:rsidR="00461D8A" w:rsidRPr="00B84AB1" w:rsidRDefault="00825994" w:rsidP="00B84AB1">
      <w:r w:rsidRPr="00B84AB1">
        <w:t xml:space="preserve"> </w:t>
      </w:r>
      <w:r w:rsidR="00983C9F" w:rsidRPr="00B84AB1">
        <w:t>- киоски и павильоны розничной торговли, общественного питания и бытового обслуживания населения, их комплексы;</w:t>
      </w:r>
      <w:r w:rsidRPr="00B84AB1">
        <w:t xml:space="preserve"> </w:t>
      </w:r>
    </w:p>
    <w:p w:rsidR="00461D8A" w:rsidRPr="00B84AB1" w:rsidRDefault="00825994" w:rsidP="00B84AB1">
      <w:r w:rsidRPr="00B84AB1">
        <w:t xml:space="preserve"> </w:t>
      </w:r>
      <w:r w:rsidR="00983C9F" w:rsidRPr="00B84AB1">
        <w:t>- автомобильные стоянки, автомобильные парковки открытого типа;</w:t>
      </w:r>
      <w:r w:rsidRPr="00B84AB1">
        <w:t xml:space="preserve"> </w:t>
      </w:r>
    </w:p>
    <w:p w:rsidR="00461D8A" w:rsidRPr="00B84AB1" w:rsidRDefault="00825994" w:rsidP="00B84AB1">
      <w:r w:rsidRPr="00B84AB1">
        <w:t xml:space="preserve"> </w:t>
      </w:r>
      <w:r w:rsidR="00983C9F" w:rsidRPr="00B84AB1">
        <w:t>- временные пункты проката, технического обслуживания, приема стеклопосуды, цветных металлов.</w:t>
      </w:r>
      <w:r w:rsidRPr="00B84AB1">
        <w:t xml:space="preserve"> </w:t>
      </w:r>
    </w:p>
    <w:p w:rsidR="00461D8A" w:rsidRPr="00B84AB1" w:rsidRDefault="00825994" w:rsidP="00B84AB1">
      <w:r w:rsidRPr="00B84AB1">
        <w:rPr>
          <w:rFonts w:eastAsia="Calibri"/>
        </w:rPr>
        <w:t xml:space="preserve"> </w:t>
      </w:r>
      <w:r w:rsidR="00983C9F" w:rsidRPr="00B84AB1">
        <w:rPr>
          <w:rFonts w:eastAsia="Calibri"/>
        </w:rPr>
        <w:t>- игровое и спортивное оборудование. Площадки.</w:t>
      </w:r>
    </w:p>
    <w:p w:rsidR="00461D8A" w:rsidRPr="00B84AB1" w:rsidRDefault="00825994" w:rsidP="00B84AB1">
      <w:r w:rsidRPr="00B84AB1">
        <w:rPr>
          <w:rFonts w:eastAsia="Calibri"/>
        </w:rPr>
        <w:t xml:space="preserve"> </w:t>
      </w:r>
      <w:r w:rsidR="00983C9F" w:rsidRPr="00B84AB1">
        <w:rPr>
          <w:rFonts w:eastAsia="Calibri"/>
        </w:rPr>
        <w:t xml:space="preserve">На территории </w:t>
      </w:r>
      <w:proofErr w:type="spellStart"/>
      <w:r w:rsidR="00983C9F" w:rsidRPr="00B84AB1">
        <w:rPr>
          <w:rFonts w:eastAsia="Calibri"/>
        </w:rPr>
        <w:t>Ловлинского</w:t>
      </w:r>
      <w:proofErr w:type="spellEnd"/>
      <w:r w:rsidR="00983C9F" w:rsidRPr="00B84AB1">
        <w:rPr>
          <w:rFonts w:eastAsia="Calibri"/>
        </w:rPr>
        <w:t xml:space="preserve"> сельского поселения Тбилисского района могут размещаться следующие виды площадок: детские площадки, площадки для отдыха, спортивные площадки, контейнерные площадки, площадки для выгула собак.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Спортивное оборудование предназначено для всех возрастных групп населения, размещается на спортивных площадках, либо в специально оборудованных пешеходных зонах.</w:t>
      </w:r>
    </w:p>
    <w:p w:rsidR="00461D8A" w:rsidRPr="00B84AB1" w:rsidRDefault="00983C9F" w:rsidP="00B84AB1">
      <w:r w:rsidRPr="00B84AB1">
        <w:rPr>
          <w:rFonts w:eastAsia="Calibri"/>
        </w:rPr>
        <w:t>Игровое и спортивное оборудование на территории Алексее-</w:t>
      </w:r>
      <w:proofErr w:type="spellStart"/>
      <w:r w:rsidRPr="00B84AB1">
        <w:rPr>
          <w:rFonts w:eastAsia="Calibri"/>
        </w:rPr>
        <w:t>Тенгинского</w:t>
      </w:r>
      <w:proofErr w:type="spellEnd"/>
      <w:r w:rsidRPr="00B84AB1">
        <w:rPr>
          <w:rFonts w:eastAsia="Calibri"/>
        </w:rPr>
        <w:t xml:space="preserve"> сельского поселения Тбилисского района представлено игровыми, физкультурно-оздоровительными устройствами, сооружениями и (или) их комплексами.</w:t>
      </w:r>
    </w:p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lastRenderedPageBreak/>
        <w:t>Игровое оборудование должно соответствовать требованиям санитарно-гигиенических норм, охраны жизни и здоровья граждан, быть удобным в технической эксплуатации, эстетически привлекательным.</w:t>
      </w:r>
    </w:p>
    <w:p w:rsidR="00461D8A" w:rsidRPr="00B84AB1" w:rsidRDefault="00983C9F" w:rsidP="00B84AB1">
      <w:r w:rsidRPr="00B84AB1">
        <w:rPr>
          <w:rFonts w:eastAsia="Calibri"/>
        </w:rPr>
        <w:t>Запрещается размещать на территории общего пользования (в том числе на прилегающей территории) игровое и спортивное оборудование без согласования с администрацией поселения</w:t>
      </w:r>
      <w:proofErr w:type="gramStart"/>
      <w:r w:rsidRPr="00B84AB1">
        <w:rPr>
          <w:rFonts w:eastAsia="Calibri"/>
        </w:rPr>
        <w:t>.».</w:t>
      </w:r>
      <w:proofErr w:type="gramEnd"/>
    </w:p>
    <w:p w:rsidR="00461D8A" w:rsidRPr="00B84AB1" w:rsidRDefault="00825994" w:rsidP="00B84AB1">
      <w:r w:rsidRPr="00B84AB1">
        <w:rPr>
          <w:rFonts w:eastAsia="Calibri"/>
        </w:rPr>
        <w:t xml:space="preserve">1.5. </w:t>
      </w:r>
      <w:proofErr w:type="gramStart"/>
      <w:r w:rsidR="00983C9F" w:rsidRPr="00B84AB1">
        <w:rPr>
          <w:rFonts w:eastAsia="Calibri"/>
        </w:rPr>
        <w:t>Раздел 19 «Обеспечение беспрепятственного доступа маломобильных граждан к объектам социальной, транспортной и инженерной инфраструктур» изложить в новой редакции:</w:t>
      </w:r>
      <w:proofErr w:type="gramEnd"/>
    </w:p>
    <w:p w:rsidR="00461D8A" w:rsidRPr="00B84AB1" w:rsidRDefault="00983C9F" w:rsidP="00B84AB1">
      <w:r w:rsidRPr="00B84AB1">
        <w:rPr>
          <w:rFonts w:eastAsia="Calibri"/>
        </w:rPr>
        <w:t>«</w:t>
      </w:r>
      <w:bookmarkStart w:id="1" w:name="_Hlk104889856"/>
      <w:r w:rsidRPr="00B84AB1">
        <w:rPr>
          <w:rFonts w:eastAsia="Calibri"/>
        </w:rPr>
        <w:t xml:space="preserve">19. Обеспечение беспрепятственного доступа маломобильных </w:t>
      </w:r>
      <w:r w:rsidRPr="00B84AB1">
        <w:t xml:space="preserve">граждан к объектам социальной, транспортной </w:t>
      </w:r>
      <w:r w:rsidRPr="00B84AB1">
        <w:rPr>
          <w:rFonts w:eastAsia="Calibri"/>
        </w:rPr>
        <w:t>и инженерной инфраструктур.</w:t>
      </w:r>
    </w:p>
    <w:bookmarkEnd w:id="1"/>
    <w:p w:rsidR="00461D8A" w:rsidRPr="00B84AB1" w:rsidRDefault="00983C9F" w:rsidP="00B84AB1">
      <w:pPr>
        <w:rPr>
          <w:rFonts w:eastAsia="Calibri"/>
        </w:rPr>
      </w:pPr>
      <w:r w:rsidRPr="00B84AB1">
        <w:rPr>
          <w:rFonts w:eastAsia="Calibri"/>
        </w:rPr>
        <w:t>Обеспечение беспрепятственного доступа маломобильных граждан к объектам социальной, транспортной и инженерной инфраструктур осуществляется в соответствии с требованиями норм градостроительного проектирования.</w:t>
      </w:r>
    </w:p>
    <w:p w:rsidR="00461D8A" w:rsidRPr="00B84AB1" w:rsidRDefault="00983C9F" w:rsidP="00B84AB1">
      <w:r w:rsidRPr="00B84AB1">
        <w:rPr>
          <w:rFonts w:eastAsia="Calibri"/>
        </w:rPr>
        <w:t xml:space="preserve">На территории </w:t>
      </w:r>
      <w:proofErr w:type="spellStart"/>
      <w:r w:rsidRPr="00B84AB1">
        <w:rPr>
          <w:rFonts w:eastAsia="Calibri"/>
        </w:rPr>
        <w:t>Ловлинского</w:t>
      </w:r>
      <w:proofErr w:type="spellEnd"/>
      <w:r w:rsidRPr="00B84AB1">
        <w:rPr>
          <w:rFonts w:eastAsia="Calibri"/>
        </w:rPr>
        <w:t xml:space="preserve"> сельского поселения Тбилисского района в состав всех проектов планировки должны включаться специальные разделы, с предложениями по разработке градостроительных мероприятий, обеспечивающих формирование среды жизнедеятельности с учетом потребностей инвалидов и иных маломобильных групп населения. При разработке проектной документации должны соблюдаться требования Свода правил СП 59.13330.2016 «Доступность зданий и сооружений для маломобильных групп населения» Актуализированная редакция СНиП 35-01-2001</w:t>
      </w:r>
      <w:r w:rsidR="00825994" w:rsidRPr="00B84AB1">
        <w:rPr>
          <w:rFonts w:eastAsia="Calibri"/>
        </w:rPr>
        <w:t xml:space="preserve"> </w:t>
      </w:r>
      <w:r w:rsidRPr="00B84AB1">
        <w:rPr>
          <w:rFonts w:eastAsia="Calibri"/>
        </w:rPr>
        <w:t>(утв. приказом Министерства строительства и жилищно-коммунального хозяйства РФ от 14 ноября 2016 г. N 798/</w:t>
      </w:r>
      <w:proofErr w:type="spellStart"/>
      <w:proofErr w:type="gramStart"/>
      <w:r w:rsidRPr="00B84AB1">
        <w:rPr>
          <w:rFonts w:eastAsia="Calibri"/>
        </w:rPr>
        <w:t>пр</w:t>
      </w:r>
      <w:proofErr w:type="spellEnd"/>
      <w:proofErr w:type="gramEnd"/>
      <w:r w:rsidRPr="00B84AB1">
        <w:rPr>
          <w:rFonts w:eastAsia="Calibri"/>
        </w:rPr>
        <w:t>).</w:t>
      </w:r>
    </w:p>
    <w:p w:rsidR="00461D8A" w:rsidRPr="00B84AB1" w:rsidRDefault="00825994" w:rsidP="00B84AB1">
      <w:r w:rsidRPr="00B84AB1">
        <w:rPr>
          <w:rFonts w:eastAsia="Calibri"/>
        </w:rPr>
        <w:t xml:space="preserve"> </w:t>
      </w:r>
      <w:r w:rsidR="00983C9F" w:rsidRPr="00B84AB1">
        <w:t>Для инвалидов с поражением опорно-двигательного аппарата, в том числе на кресле-коляске или с дополнительными опорами, должны быть изменены параметры проходов и проездов, предельные уклоны профиля пути, качество поверхности путей передвижения, оборудование городской среды для обеспечения информацией и общественным обслуживанием, в том числе транспортным.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Для инвалидов с дефектами зрения, в том числе полностью слепых, должны быть изменены параметры путей передвижения инвалидов (расчетные габариты пешехода увеличиваются в связи с пользованием тростью), поверхность путей передвижения не должна иметь различные препятствия, должно быть обеспечено получение необходимой звуковой и тактильной (</w:t>
      </w:r>
      <w:proofErr w:type="gramStart"/>
      <w:r w:rsidR="00983C9F" w:rsidRPr="00B84AB1">
        <w:t xml:space="preserve">осязательной) </w:t>
      </w:r>
      <w:proofErr w:type="gramEnd"/>
      <w:r w:rsidR="00983C9F" w:rsidRPr="00B84AB1">
        <w:t>информации, улучшено качество освещения на улицах.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Для инвалидов с дефектами слуха, в том числе полностью глухих, должна быть обеспечена хорошо различимая визуальная информация и созданы специальные элементы среды.</w:t>
      </w:r>
    </w:p>
    <w:p w:rsidR="00461D8A" w:rsidRPr="00B84AB1" w:rsidRDefault="00825994" w:rsidP="00B84AB1">
      <w:r w:rsidRPr="00B84AB1">
        <w:t xml:space="preserve"> </w:t>
      </w:r>
      <w:r w:rsidR="00983C9F" w:rsidRPr="00B84AB1">
        <w:t>Тротуары и покрытия в пешеходных зонах должны обеспечивать доступность для инвалидов-колясочников и инвалидов по зрению.</w:t>
      </w:r>
    </w:p>
    <w:p w:rsidR="00461D8A" w:rsidRPr="00B84AB1" w:rsidRDefault="00825994" w:rsidP="00B84AB1">
      <w:r w:rsidRPr="00B84AB1">
        <w:t xml:space="preserve"> </w:t>
      </w:r>
      <w:r w:rsidR="00983C9F" w:rsidRPr="00B84AB1">
        <w:t>Физические, юридические лица, иные хозяйствующие субъекты, независимо от их организационно-правовой формы и формы собственности обязаны оборудовать здания, строения, сооружения, находящиеся в их собственности, пользовании, владении, аренде, средствами, предназначенными для обеспечения беспрепятственного передвижения маломобильных групп граждан, в соответствии с требованиями действующего законодательства и настоящих Правил.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инвалидов и других маломобильных групп населения, оснащение этих объектов элементами и техническими средствами, способствующими передвижению инвалидов и других маломобильных групп населения.</w:t>
      </w:r>
    </w:p>
    <w:p w:rsidR="00461D8A" w:rsidRPr="00B84AB1" w:rsidRDefault="00825994" w:rsidP="00B84AB1">
      <w:r w:rsidRPr="00B84AB1">
        <w:lastRenderedPageBreak/>
        <w:t xml:space="preserve"> </w:t>
      </w:r>
      <w:r w:rsidR="00983C9F" w:rsidRPr="00B84AB1">
        <w:t>Проектирование, строительство, установку технических средств и оборудования, способствующих передвижению инвалидов и других маломобильных групп населения, необходимо осуществлять при новом строительстве заказчиком в соответствии с утвержденной проектной документацией, с учетом мнения экспертов и принципов разумного приспособления.</w:t>
      </w:r>
    </w:p>
    <w:p w:rsidR="00461D8A" w:rsidRPr="00B84AB1" w:rsidRDefault="00825994" w:rsidP="00B84AB1">
      <w:r w:rsidRPr="00B84AB1">
        <w:t xml:space="preserve"> </w:t>
      </w:r>
      <w:proofErr w:type="gramStart"/>
      <w:r w:rsidR="00983C9F" w:rsidRPr="00B84AB1">
        <w:t>Объекты социальной, транспортной и инженерной инфраструктур (жилые здания постоянного и временного проживания и гостиницы, административные здания, культурно-зрелищные здания, учреждения образования, социального назначения, здравоохранения, физкультурно-оздоровительные и спортивные объекты, объекты коммунально-бытового назначения, общественного питания и торговли, культовые здания, здания и сооружения связи и информации, места отдыха, пляжи и объекты рекреационного назначения, сооружения транспорта, тротуары и пешеходные дорожки, надземные и подземные переходы) должны</w:t>
      </w:r>
      <w:proofErr w:type="gramEnd"/>
      <w:r w:rsidR="00983C9F" w:rsidRPr="00B84AB1">
        <w:t xml:space="preserve"> быть </w:t>
      </w:r>
      <w:proofErr w:type="gramStart"/>
      <w:r w:rsidR="00983C9F" w:rsidRPr="00B84AB1">
        <w:t>оборудованы</w:t>
      </w:r>
      <w:proofErr w:type="gramEnd"/>
      <w:r w:rsidR="00983C9F" w:rsidRPr="00B84AB1">
        <w:t xml:space="preserve"> и оснащены: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пандусами и поручнями;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лифтами и подъемными платформами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местами для хранения кресел-колясок;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санитарно-гигиеническими помещениями;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специальными указателями переходов улиц;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звуковой сигнализацией;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местами парковок транспортных средств.</w:t>
      </w:r>
    </w:p>
    <w:p w:rsidR="00461D8A" w:rsidRPr="00B84AB1" w:rsidRDefault="00983C9F" w:rsidP="00B84AB1">
      <w:r w:rsidRPr="00B84AB1">
        <w:t>Общие требования к зданиям, сооружениям и земельным участкам:</w:t>
      </w:r>
    </w:p>
    <w:p w:rsidR="00461D8A" w:rsidRPr="00B84AB1" w:rsidRDefault="00983C9F" w:rsidP="00B84AB1">
      <w:r w:rsidRPr="00B84AB1">
        <w:t>в проектах должны быть предусмотрены условия беспрепятственного удобного передвижения МГН по участку к зданию или по территории предприятия, комплекса сооружений с учетом требований градостроительных норм. Система средств информационной поддержки должна быть обеспечена на всех путях движения, доступных для МГН, на все время эксплуатации.</w:t>
      </w:r>
    </w:p>
    <w:p w:rsidR="00461D8A" w:rsidRPr="00B84AB1" w:rsidRDefault="00983C9F" w:rsidP="00B84AB1">
      <w:r w:rsidRPr="00B84AB1">
        <w:t>Транспортные проезды на участке и пешеходные дороги на пути к объектам, посещаемым инвалидами, допускается совмещать при соблюдении градостроительных требований к параметрам путей движения;</w:t>
      </w:r>
    </w:p>
    <w:p w:rsidR="00461D8A" w:rsidRPr="00B84AB1" w:rsidRDefault="00983C9F" w:rsidP="00B84AB1">
      <w:r w:rsidRPr="00B84AB1">
        <w:t>Высота бортового камня в местах пересечения тротуаров с проезжей частью, а также перепад высот бордюров, бортовых камней вдоль эксплуатируемых газонов и озелененных площадок, примыкающих к путям пешеходного движения, не должны превышать 0,04 м;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При наличии на территории или участке подземных и надземных переходов их следует оборудовать пандусами или подъемными устройствами, если нельзя организовать для МГН наземный проход;</w:t>
      </w:r>
    </w:p>
    <w:p w:rsidR="00461D8A" w:rsidRPr="00B84AB1" w:rsidRDefault="00825994" w:rsidP="00B84AB1">
      <w:r w:rsidRPr="00B84AB1">
        <w:t xml:space="preserve"> </w:t>
      </w:r>
      <w:r w:rsidR="00983C9F" w:rsidRPr="00B84AB1">
        <w:t xml:space="preserve">Для покрытий пешеходных дорожек, тротуаров и пандусов не допускается применение насыпных или </w:t>
      </w:r>
      <w:proofErr w:type="spellStart"/>
      <w:r w:rsidR="00983C9F" w:rsidRPr="00B84AB1">
        <w:t>крупноструктурных</w:t>
      </w:r>
      <w:proofErr w:type="spellEnd"/>
      <w:r w:rsidR="00983C9F" w:rsidRPr="00B84AB1">
        <w:t xml:space="preserve"> материалов, препятствующих передвижению МГН на креслах-колясках или с костылями.</w:t>
      </w:r>
      <w:r w:rsidRPr="00B84AB1">
        <w:t xml:space="preserve"> 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Покрытие из бетонных плит должно быть ровным, а толщина швов между плитами - не более 0,015 м;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На путях движения МГН не допускается применять непрозрачные калитки на навесных петлях двустороннего действия, калитки с вращающимися полотнами, а также турникеты;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Лестницы должны дублироваться пандусами, а при необходимости - другими средствами подъема;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Устройства и оборудование (почтовые ящики, укрытия таксофонов, информационные щиты и т.п.), размещаемые на стенах зданий, сооружений или на отдельных конструкциях, а также выступающие элементы и части зданий и сооружений не должны сокращать нормируемое пространство для прохода, а также проезда и маневрирования кресла-коляски;</w:t>
      </w:r>
    </w:p>
    <w:p w:rsidR="00461D8A" w:rsidRPr="00B84AB1" w:rsidRDefault="00825994" w:rsidP="00B84AB1">
      <w:r w:rsidRPr="00B84AB1">
        <w:lastRenderedPageBreak/>
        <w:t xml:space="preserve"> </w:t>
      </w:r>
      <w:r w:rsidR="00983C9F" w:rsidRPr="00B84AB1">
        <w:t>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0,04 м, край которых должен находиться от установленного оборудования на расстоянии 0,7 - 0,8 м.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Вход на территорию или участок следует оборудовать доступными для инвалидов элементами информации об объекте;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На открытых индивидуальных автостоянках около учреждений обслуживания следует выделять не менее 10% мест (но не менее одного места) для транспорта инвалидов. Эти места должны обозначаться знаками, принятыми в международной практике;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Ширина зоны для парковки автомобиля инвалидов должна</w:t>
      </w:r>
      <w:r w:rsidRPr="00B84AB1">
        <w:t xml:space="preserve"> </w:t>
      </w:r>
      <w:r w:rsidR="00983C9F" w:rsidRPr="00B84AB1">
        <w:t>быть от 3,5 м до 4.</w:t>
      </w:r>
    </w:p>
    <w:p w:rsidR="00461D8A" w:rsidRPr="00B84AB1" w:rsidRDefault="00825994" w:rsidP="00B84AB1">
      <w:r w:rsidRPr="00B84AB1">
        <w:t xml:space="preserve"> </w:t>
      </w:r>
      <w:r w:rsidR="00983C9F" w:rsidRPr="00B84AB1">
        <w:t>Требования к входам и путям движения: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В здании должен быть как минимум один вход, приспособленный для МГН, с поверхности земли и из каждого доступного для МГН подземного или надземного перехода, соединенного с этим зданием;</w:t>
      </w:r>
    </w:p>
    <w:p w:rsidR="00461D8A" w:rsidRPr="00B84AB1" w:rsidRDefault="00825994" w:rsidP="00B84AB1">
      <w:r w:rsidRPr="00B84AB1">
        <w:t xml:space="preserve"> </w:t>
      </w:r>
      <w:r w:rsidR="00983C9F" w:rsidRPr="00B84AB1">
        <w:t xml:space="preserve">Наружные лестницы и пандусы должны иметь поручни с учетом технических требований к опорным стационарным устройствам по ГОСТ </w:t>
      </w:r>
      <w:proofErr w:type="gramStart"/>
      <w:r w:rsidR="00983C9F" w:rsidRPr="00B84AB1">
        <w:t>Р</w:t>
      </w:r>
      <w:proofErr w:type="gramEnd"/>
      <w:r w:rsidR="00983C9F" w:rsidRPr="00B84AB1">
        <w:t xml:space="preserve"> 51261;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При ширине лестниц на основных подходах к зданию 2,5 м и более следует дополнительно предусматривать разделительные поручни;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Входная площадка при входах, доступных МГН, должна иметь навес, водоотвод, а в зависимости от местных климатических условий – подогрев,</w:t>
      </w:r>
    </w:p>
    <w:p w:rsidR="00461D8A" w:rsidRPr="00B84AB1" w:rsidRDefault="00983C9F" w:rsidP="00B84AB1">
      <w:r w:rsidRPr="00B84AB1">
        <w:t>что устанавливается заданием на проектирование;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Поверхности покрытий входных площадок и тамбуров должны быть твердыми, не допускать скольжения при намокании и иметь поперечный уклон в пределах 1 - 2%;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Дренажные и водосборные решетки, устанавливаемые в полу тамбуров или входных площадок, должны устанавливаться заподлицо с поверхностью покрытия пола. Ширина просветов их ячеек не должна превышать 0,015 м.</w:t>
      </w:r>
      <w:r w:rsidRPr="00B84AB1">
        <w:t xml:space="preserve"> 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Предпочтительно применение решеток с ромбовидными или квадратными ячейками;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При наличии контроля на входе следует предусматривать контрольные устройства, приспособленные для пропуска тех категорий инвалидов, для которых будет доступен проектируемый объект;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Помещения, где могут находиться инвалиды на креслах-колясках, следует, как правило, размещать на уровне входа, ближайшего к поверхности земли.</w:t>
      </w:r>
      <w:r w:rsidRPr="00B84AB1">
        <w:t xml:space="preserve"> 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При ином размещении помещений по высоте здания, кроме лестниц, следует предусматривать пандусы, подъемные платформы, лифты или другие приспособления для перемещения инвалидов;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Пути движения МГН внутри здания следует проектировать в соответствии с нормативными требованиями к путям эвакуации людей из здания;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Дверные проемы, как правило, не должны иметь порогов и перепадов высот пола. При необходимости устройства порогов их высота или перепад высот не должен превышать 0,025 м;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Прозрачные двери и ограждения следует выполнять из ударопрочного материала.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пути;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На путях движения МГН не допускается применять вращающиеся двери и турникеты;</w:t>
      </w:r>
    </w:p>
    <w:p w:rsidR="00461D8A" w:rsidRPr="00B84AB1" w:rsidRDefault="00825994" w:rsidP="00B84AB1">
      <w:r w:rsidRPr="00B84AB1">
        <w:lastRenderedPageBreak/>
        <w:t xml:space="preserve"> </w:t>
      </w:r>
      <w:r w:rsidR="00983C9F" w:rsidRPr="00B84AB1">
        <w:t>На путях движения МГН следует применять двери на петлях одностороннего действия с фиксаторами в положениях «открыто» и «закрыто».</w:t>
      </w:r>
      <w:r w:rsidRPr="00B84AB1">
        <w:t xml:space="preserve"> </w:t>
      </w:r>
    </w:p>
    <w:p w:rsidR="00461D8A" w:rsidRPr="00B84AB1" w:rsidRDefault="00825994" w:rsidP="00B84AB1">
      <w:r w:rsidRPr="00B84AB1">
        <w:t xml:space="preserve"> </w:t>
      </w:r>
      <w:r w:rsidR="00983C9F" w:rsidRPr="00B84AB1">
        <w:t xml:space="preserve">Следует также применять </w:t>
      </w:r>
      <w:proofErr w:type="gramStart"/>
      <w:r w:rsidR="00983C9F" w:rsidRPr="00B84AB1">
        <w:t>двери, обеспечивающие задержку автоматического закрывания дверей продолжительностью не менее 5 сек</w:t>
      </w:r>
      <w:proofErr w:type="gramEnd"/>
      <w:r w:rsidR="00983C9F" w:rsidRPr="00B84AB1">
        <w:t>.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Особые требования к среде жизнедеятельности МГН:</w:t>
      </w:r>
    </w:p>
    <w:p w:rsidR="00461D8A" w:rsidRPr="00B84AB1" w:rsidRDefault="00825994" w:rsidP="00B84AB1">
      <w:r w:rsidRPr="00B84AB1">
        <w:t xml:space="preserve"> </w:t>
      </w:r>
      <w:r w:rsidR="00983C9F" w:rsidRPr="00B84AB1">
        <w:t>Жилые дома и жилые помещения общественных зданий следует проектировать, обеспечивая потребности инвалидов, включая:</w:t>
      </w:r>
    </w:p>
    <w:p w:rsidR="00461D8A" w:rsidRPr="00B84AB1" w:rsidRDefault="00983C9F" w:rsidP="00B84AB1">
      <w:r w:rsidRPr="00B84AB1">
        <w:t>доступность квартиры или жилого помещения от входа в здание;</w:t>
      </w:r>
    </w:p>
    <w:p w:rsidR="00461D8A" w:rsidRPr="00B84AB1" w:rsidRDefault="00983C9F" w:rsidP="00B84AB1">
      <w:r w:rsidRPr="00B84AB1">
        <w:t>доступность всех общественных помещений здания из квартиры или жилого помещения;</w:t>
      </w:r>
    </w:p>
    <w:p w:rsidR="00461D8A" w:rsidRPr="00B84AB1" w:rsidRDefault="00983C9F" w:rsidP="00B84AB1">
      <w:r w:rsidRPr="00B84AB1">
        <w:t>применение оборудования, отвечающего потребностям инвалидов;</w:t>
      </w:r>
    </w:p>
    <w:p w:rsidR="00461D8A" w:rsidRPr="00B84AB1" w:rsidRDefault="00983C9F" w:rsidP="00B84AB1">
      <w:r w:rsidRPr="00B84AB1">
        <w:t>обеспечение безопасности и удобства пользования оборудованием и приборами;</w:t>
      </w:r>
    </w:p>
    <w:p w:rsidR="00461D8A" w:rsidRPr="00B84AB1" w:rsidRDefault="00983C9F" w:rsidP="00B84AB1">
      <w:r w:rsidRPr="00B84AB1">
        <w:t>оборудование придомовой территории и собственно здания необходимыми информационными системами;</w:t>
      </w:r>
    </w:p>
    <w:p w:rsidR="00461D8A" w:rsidRPr="00B84AB1" w:rsidRDefault="00825994" w:rsidP="00B84AB1">
      <w:r w:rsidRPr="00B84AB1">
        <w:t xml:space="preserve"> </w:t>
      </w:r>
      <w:r w:rsidR="00983C9F" w:rsidRPr="00B84AB1">
        <w:t xml:space="preserve">В </w:t>
      </w:r>
      <w:proofErr w:type="gramStart"/>
      <w:r w:rsidR="00983C9F" w:rsidRPr="00B84AB1">
        <w:t>случае</w:t>
      </w:r>
      <w:proofErr w:type="gramEnd"/>
      <w:r w:rsidR="00983C9F" w:rsidRPr="00B84AB1">
        <w:t xml:space="preserve"> когда действующие объекты невозможно приспособить для нужд инвалидов, собственниками этих объектов должны осуществляться по согласованию с общественными объединениями инвалидов меры, обеспечивающие удовлетворение минимальных потребностей инвалидов.».</w:t>
      </w:r>
    </w:p>
    <w:p w:rsidR="00461D8A" w:rsidRPr="00B84AB1" w:rsidRDefault="00983C9F" w:rsidP="00B84AB1">
      <w:r w:rsidRPr="00B84AB1">
        <w:t xml:space="preserve">2. Эксперту по землеустройству администрации </w:t>
      </w:r>
      <w:proofErr w:type="spellStart"/>
      <w:r w:rsidRPr="00B84AB1">
        <w:t>Ловл</w:t>
      </w:r>
      <w:r w:rsidRPr="00B84AB1">
        <w:rPr>
          <w:rFonts w:eastAsia="Calibri"/>
        </w:rPr>
        <w:t>инского</w:t>
      </w:r>
      <w:proofErr w:type="spellEnd"/>
      <w:r w:rsidRPr="00B84AB1">
        <w:rPr>
          <w:rFonts w:eastAsia="Calibri"/>
        </w:rPr>
        <w:t xml:space="preserve"> </w:t>
      </w:r>
      <w:r w:rsidRPr="00B84AB1">
        <w:t xml:space="preserve">сельского поселения Тбилисского района О.А. </w:t>
      </w:r>
      <w:proofErr w:type="spellStart"/>
      <w:r w:rsidRPr="00B84AB1">
        <w:t>Легостаевой</w:t>
      </w:r>
      <w:proofErr w:type="spellEnd"/>
      <w:r w:rsidRPr="00B84AB1">
        <w:t xml:space="preserve"> опубликовать настоящее решение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Pr="00B84AB1">
        <w:t>Ловл</w:t>
      </w:r>
      <w:r w:rsidRPr="00B84AB1">
        <w:rPr>
          <w:rFonts w:eastAsia="Calibri"/>
        </w:rPr>
        <w:t>инского</w:t>
      </w:r>
      <w:proofErr w:type="spellEnd"/>
      <w:r w:rsidRPr="00B84AB1">
        <w:rPr>
          <w:rFonts w:eastAsia="Calibri"/>
        </w:rPr>
        <w:t xml:space="preserve"> </w:t>
      </w:r>
      <w:r w:rsidRPr="00B84AB1">
        <w:t>сельского поселения Тбилисского района в информационно-телекоммуникационной сети «ИНТЕРНЕТ».</w:t>
      </w:r>
    </w:p>
    <w:p w:rsidR="00461D8A" w:rsidRPr="00B84AB1" w:rsidRDefault="00983C9F" w:rsidP="00B84AB1">
      <w:r w:rsidRPr="00B84AB1">
        <w:t>3. Настоящее решение вступает в силу со дня его обнародования.</w:t>
      </w:r>
    </w:p>
    <w:p w:rsidR="00461D8A" w:rsidRPr="00B84AB1" w:rsidRDefault="00461D8A" w:rsidP="00B84AB1"/>
    <w:p w:rsidR="00B54801" w:rsidRPr="00B84AB1" w:rsidRDefault="00B54801" w:rsidP="00B84AB1"/>
    <w:p w:rsidR="00461D8A" w:rsidRPr="00B84AB1" w:rsidRDefault="00461D8A" w:rsidP="00B84AB1"/>
    <w:p w:rsidR="00B54801" w:rsidRPr="00B84AB1" w:rsidRDefault="00B54801" w:rsidP="00B84AB1">
      <w:r w:rsidRPr="00B84AB1">
        <w:t>Глава</w:t>
      </w:r>
    </w:p>
    <w:p w:rsidR="00B54801" w:rsidRPr="00B84AB1" w:rsidRDefault="00B54801" w:rsidP="00B84AB1">
      <w:proofErr w:type="spellStart"/>
      <w:r w:rsidRPr="00B84AB1">
        <w:t>Ловлинского</w:t>
      </w:r>
      <w:proofErr w:type="spellEnd"/>
      <w:r w:rsidRPr="00B84AB1">
        <w:t xml:space="preserve"> сельского поселения</w:t>
      </w:r>
    </w:p>
    <w:p w:rsidR="00B54801" w:rsidRPr="00B84AB1" w:rsidRDefault="00B54801" w:rsidP="00B84AB1">
      <w:r w:rsidRPr="00B84AB1">
        <w:t>Тбилисского района</w:t>
      </w:r>
      <w:r w:rsidR="00825994" w:rsidRPr="00B84AB1">
        <w:t xml:space="preserve"> </w:t>
      </w:r>
    </w:p>
    <w:p w:rsidR="00B54801" w:rsidRPr="00B84AB1" w:rsidRDefault="00B54801" w:rsidP="00B84AB1">
      <w:r w:rsidRPr="00B84AB1">
        <w:t xml:space="preserve">А.Н. </w:t>
      </w:r>
      <w:proofErr w:type="spellStart"/>
      <w:r w:rsidRPr="00B84AB1">
        <w:t>Сорокодумов</w:t>
      </w:r>
      <w:proofErr w:type="spellEnd"/>
    </w:p>
    <w:p w:rsidR="00B54801" w:rsidRPr="00B84AB1" w:rsidRDefault="00B54801" w:rsidP="00B84AB1"/>
    <w:p w:rsidR="00B54801" w:rsidRPr="00B84AB1" w:rsidRDefault="00B54801" w:rsidP="00B84AB1"/>
    <w:sectPr w:rsidR="00B54801" w:rsidRPr="00B84AB1" w:rsidSect="00B84AB1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790" w:rsidRDefault="00AB1790">
      <w:r>
        <w:separator/>
      </w:r>
    </w:p>
  </w:endnote>
  <w:endnote w:type="continuationSeparator" w:id="0">
    <w:p w:rsidR="00AB1790" w:rsidRDefault="00AB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790" w:rsidRDefault="00AB1790">
      <w:r>
        <w:rPr>
          <w:color w:val="000000"/>
        </w:rPr>
        <w:separator/>
      </w:r>
    </w:p>
  </w:footnote>
  <w:footnote w:type="continuationSeparator" w:id="0">
    <w:p w:rsidR="00AB1790" w:rsidRDefault="00AB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5548"/>
    <w:multiLevelType w:val="multilevel"/>
    <w:tmpl w:val="0B1EF3E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8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1A1841F4"/>
    <w:multiLevelType w:val="multilevel"/>
    <w:tmpl w:val="C6EA934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25FD1645"/>
    <w:multiLevelType w:val="multilevel"/>
    <w:tmpl w:val="328A38B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cs="Times New Roman"/>
        <w:sz w:val="28"/>
      </w:rPr>
    </w:lvl>
    <w:lvl w:ilvl="1">
      <w:start w:val="5"/>
      <w:numFmt w:val="decimal"/>
      <w:lvlText w:val="%1.%2."/>
      <w:lvlJc w:val="left"/>
      <w:pPr>
        <w:ind w:left="945" w:hanging="450"/>
      </w:pPr>
      <w:rPr>
        <w:rFonts w:eastAsia="Calibri" w:cs="Times New Roman"/>
        <w:sz w:val="28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eastAsia="Calibri" w:cs="Times New Roman"/>
        <w:sz w:val="28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eastAsia="Calibri" w:cs="Times New Roman"/>
        <w:sz w:val="28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eastAsia="Calibri" w:cs="Times New Roman"/>
        <w:sz w:val="28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eastAsia="Calibri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eastAsia="Calibri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eastAsia="Calibri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eastAsia="Calibri" w:cs="Times New Roman"/>
        <w:sz w:val="28"/>
      </w:rPr>
    </w:lvl>
  </w:abstractNum>
  <w:abstractNum w:abstractNumId="3">
    <w:nsid w:val="35320470"/>
    <w:multiLevelType w:val="multilevel"/>
    <w:tmpl w:val="E4A2BB18"/>
    <w:styleLink w:val="WW8Num15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599458C2"/>
    <w:multiLevelType w:val="multilevel"/>
    <w:tmpl w:val="C14E5C60"/>
    <w:styleLink w:val="WW8Num10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695B08AC"/>
    <w:multiLevelType w:val="multilevel"/>
    <w:tmpl w:val="D29C2E7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61D8A"/>
    <w:rsid w:val="00461D8A"/>
    <w:rsid w:val="00552A4D"/>
    <w:rsid w:val="00825994"/>
    <w:rsid w:val="00983C9F"/>
    <w:rsid w:val="009C5FC3"/>
    <w:rsid w:val="00AB1790"/>
    <w:rsid w:val="00B54801"/>
    <w:rsid w:val="00B84AB1"/>
    <w:rsid w:val="00D2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84AB1"/>
    <w:pPr>
      <w:widowControl/>
      <w:autoSpaceDN/>
      <w:ind w:firstLine="567"/>
      <w:jc w:val="both"/>
      <w:textAlignment w:val="auto"/>
    </w:pPr>
    <w:rPr>
      <w:rFonts w:ascii="Arial" w:eastAsia="Times New Roman" w:hAnsi="Arial" w:cs="Times New Roman"/>
      <w:kern w:val="0"/>
      <w:lang w:eastAsia="ru-RU" w:bidi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B84AB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84AB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84AB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84AB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ndale Sans UI" w:cs="Tahoma"/>
      <w:lang w:val="de-DE" w:eastAsia="ja-JP" w:bidi="fa-IR"/>
    </w:r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</w:pPr>
    <w:rPr>
      <w:rFonts w:eastAsia="Times New Roman"/>
      <w:lang w:eastAsia="ru-RU"/>
    </w:rPr>
  </w:style>
  <w:style w:type="paragraph" w:styleId="a7">
    <w:name w:val="Balloon Text"/>
    <w:basedOn w:val="Standard"/>
    <w:rPr>
      <w:rFonts w:ascii="Tahoma" w:hAnsi="Tahoma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Текст выноски Знак"/>
    <w:basedOn w:val="a0"/>
    <w:rPr>
      <w:rFonts w:ascii="Tahoma" w:eastAsia="SimSun" w:hAnsi="Tahoma" w:cs="Mangal"/>
      <w:kern w:val="3"/>
      <w:sz w:val="16"/>
      <w:szCs w:val="14"/>
      <w:lang w:eastAsia="hi-IN" w:bidi="hi-I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paragraph" w:customStyle="1" w:styleId="ConsNormal">
    <w:name w:val="ConsNormal"/>
    <w:pPr>
      <w:suppressAutoHyphens/>
      <w:autoSpaceDE w:val="0"/>
      <w:ind w:firstLine="720"/>
      <w:textAlignment w:val="auto"/>
    </w:pPr>
    <w:rPr>
      <w:rFonts w:ascii="Arial" w:eastAsia="Arial" w:hAnsi="Arial" w:cs="Arial"/>
      <w:kern w:val="0"/>
      <w:sz w:val="20"/>
      <w:szCs w:val="20"/>
      <w:lang w:eastAsia="ar-SA" w:bidi="ar-SA"/>
    </w:rPr>
  </w:style>
  <w:style w:type="paragraph" w:customStyle="1" w:styleId="11">
    <w:name w:val="Текст1"/>
    <w:basedOn w:val="a"/>
    <w:rsid w:val="00B54801"/>
    <w:rPr>
      <w:rFonts w:ascii="Courier New" w:hAnsi="Courier New" w:cs="Courier New"/>
      <w:sz w:val="20"/>
      <w:szCs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8Num10">
    <w:name w:val="WW8Num10"/>
    <w:basedOn w:val="a2"/>
    <w:pPr>
      <w:numPr>
        <w:numId w:val="3"/>
      </w:numPr>
    </w:pPr>
  </w:style>
  <w:style w:type="numbering" w:customStyle="1" w:styleId="WW8Num15">
    <w:name w:val="WW8Num15"/>
    <w:basedOn w:val="a2"/>
    <w:pPr>
      <w:numPr>
        <w:numId w:val="4"/>
      </w:numPr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B84AB1"/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84AB1"/>
    <w:rPr>
      <w:rFonts w:ascii="Arial" w:eastAsia="Times New Roman" w:hAnsi="Arial" w:cs="Arial"/>
      <w:b/>
      <w:bCs/>
      <w:iCs/>
      <w:kern w:val="0"/>
      <w:sz w:val="30"/>
      <w:szCs w:val="28"/>
      <w:lang w:eastAsia="ru-RU" w:bidi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84AB1"/>
    <w:rPr>
      <w:rFonts w:ascii="Arial" w:eastAsia="Times New Roman" w:hAnsi="Arial" w:cs="Arial"/>
      <w:b/>
      <w:bCs/>
      <w:kern w:val="0"/>
      <w:sz w:val="28"/>
      <w:szCs w:val="26"/>
      <w:lang w:eastAsia="ru-RU" w:bidi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84AB1"/>
    <w:rPr>
      <w:rFonts w:ascii="Arial" w:eastAsia="Times New Roman" w:hAnsi="Arial" w:cs="Times New Roman"/>
      <w:b/>
      <w:bCs/>
      <w:kern w:val="0"/>
      <w:sz w:val="26"/>
      <w:szCs w:val="28"/>
      <w:lang w:eastAsia="ru-RU" w:bidi="ar-SA"/>
    </w:rPr>
  </w:style>
  <w:style w:type="character" w:styleId="HTML">
    <w:name w:val="HTML Variable"/>
    <w:aliases w:val="!Ссылки в документе"/>
    <w:basedOn w:val="a0"/>
    <w:rsid w:val="00B84AB1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B84AB1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B84AB1"/>
    <w:rPr>
      <w:rFonts w:ascii="Courier" w:eastAsia="Times New Roman" w:hAnsi="Courier" w:cs="Times New Roman"/>
      <w:kern w:val="0"/>
      <w:sz w:val="22"/>
      <w:szCs w:val="20"/>
      <w:lang w:eastAsia="ru-RU" w:bidi="ar-SA"/>
    </w:rPr>
  </w:style>
  <w:style w:type="paragraph" w:customStyle="1" w:styleId="Title">
    <w:name w:val="Title!Название НПА"/>
    <w:basedOn w:val="a"/>
    <w:rsid w:val="00B84AB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B84AB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84AB1"/>
    <w:pPr>
      <w:widowControl/>
      <w:autoSpaceDN/>
      <w:ind w:firstLine="567"/>
      <w:jc w:val="both"/>
      <w:textAlignment w:val="auto"/>
    </w:pPr>
    <w:rPr>
      <w:rFonts w:ascii="Arial" w:eastAsia="Times New Roman" w:hAnsi="Arial" w:cs="Times New Roman"/>
      <w:kern w:val="0"/>
      <w:lang w:eastAsia="ru-RU" w:bidi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B84AB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84AB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84AB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84AB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ndale Sans UI" w:cs="Tahoma"/>
      <w:lang w:val="de-DE" w:eastAsia="ja-JP" w:bidi="fa-IR"/>
    </w:r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</w:pPr>
    <w:rPr>
      <w:rFonts w:eastAsia="Times New Roman"/>
      <w:lang w:eastAsia="ru-RU"/>
    </w:rPr>
  </w:style>
  <w:style w:type="paragraph" w:styleId="a7">
    <w:name w:val="Balloon Text"/>
    <w:basedOn w:val="Standard"/>
    <w:rPr>
      <w:rFonts w:ascii="Tahoma" w:hAnsi="Tahoma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Текст выноски Знак"/>
    <w:basedOn w:val="a0"/>
    <w:rPr>
      <w:rFonts w:ascii="Tahoma" w:eastAsia="SimSun" w:hAnsi="Tahoma" w:cs="Mangal"/>
      <w:kern w:val="3"/>
      <w:sz w:val="16"/>
      <w:szCs w:val="14"/>
      <w:lang w:eastAsia="hi-IN" w:bidi="hi-I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paragraph" w:customStyle="1" w:styleId="ConsNormal">
    <w:name w:val="ConsNormal"/>
    <w:pPr>
      <w:suppressAutoHyphens/>
      <w:autoSpaceDE w:val="0"/>
      <w:ind w:firstLine="720"/>
      <w:textAlignment w:val="auto"/>
    </w:pPr>
    <w:rPr>
      <w:rFonts w:ascii="Arial" w:eastAsia="Arial" w:hAnsi="Arial" w:cs="Arial"/>
      <w:kern w:val="0"/>
      <w:sz w:val="20"/>
      <w:szCs w:val="20"/>
      <w:lang w:eastAsia="ar-SA" w:bidi="ar-SA"/>
    </w:rPr>
  </w:style>
  <w:style w:type="paragraph" w:customStyle="1" w:styleId="11">
    <w:name w:val="Текст1"/>
    <w:basedOn w:val="a"/>
    <w:rsid w:val="00B54801"/>
    <w:rPr>
      <w:rFonts w:ascii="Courier New" w:hAnsi="Courier New" w:cs="Courier New"/>
      <w:sz w:val="20"/>
      <w:szCs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8Num10">
    <w:name w:val="WW8Num10"/>
    <w:basedOn w:val="a2"/>
    <w:pPr>
      <w:numPr>
        <w:numId w:val="3"/>
      </w:numPr>
    </w:pPr>
  </w:style>
  <w:style w:type="numbering" w:customStyle="1" w:styleId="WW8Num15">
    <w:name w:val="WW8Num15"/>
    <w:basedOn w:val="a2"/>
    <w:pPr>
      <w:numPr>
        <w:numId w:val="4"/>
      </w:numPr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B84AB1"/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84AB1"/>
    <w:rPr>
      <w:rFonts w:ascii="Arial" w:eastAsia="Times New Roman" w:hAnsi="Arial" w:cs="Arial"/>
      <w:b/>
      <w:bCs/>
      <w:iCs/>
      <w:kern w:val="0"/>
      <w:sz w:val="30"/>
      <w:szCs w:val="28"/>
      <w:lang w:eastAsia="ru-RU" w:bidi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84AB1"/>
    <w:rPr>
      <w:rFonts w:ascii="Arial" w:eastAsia="Times New Roman" w:hAnsi="Arial" w:cs="Arial"/>
      <w:b/>
      <w:bCs/>
      <w:kern w:val="0"/>
      <w:sz w:val="28"/>
      <w:szCs w:val="26"/>
      <w:lang w:eastAsia="ru-RU" w:bidi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84AB1"/>
    <w:rPr>
      <w:rFonts w:ascii="Arial" w:eastAsia="Times New Roman" w:hAnsi="Arial" w:cs="Times New Roman"/>
      <w:b/>
      <w:bCs/>
      <w:kern w:val="0"/>
      <w:sz w:val="26"/>
      <w:szCs w:val="28"/>
      <w:lang w:eastAsia="ru-RU" w:bidi="ar-SA"/>
    </w:rPr>
  </w:style>
  <w:style w:type="character" w:styleId="HTML">
    <w:name w:val="HTML Variable"/>
    <w:aliases w:val="!Ссылки в документе"/>
    <w:basedOn w:val="a0"/>
    <w:rsid w:val="00B84AB1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B84AB1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B84AB1"/>
    <w:rPr>
      <w:rFonts w:ascii="Courier" w:eastAsia="Times New Roman" w:hAnsi="Courier" w:cs="Times New Roman"/>
      <w:kern w:val="0"/>
      <w:sz w:val="22"/>
      <w:szCs w:val="20"/>
      <w:lang w:eastAsia="ru-RU" w:bidi="ar-SA"/>
    </w:rPr>
  </w:style>
  <w:style w:type="paragraph" w:customStyle="1" w:styleId="Title">
    <w:name w:val="Title!Название НПА"/>
    <w:basedOn w:val="a"/>
    <w:rsid w:val="00B84AB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B84AB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4D10-8FB7-4CCB-8F83-7E703ECC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3899</Words>
  <Characters>22230</Characters>
  <Application>Microsoft Office Word</Application>
  <DocSecurity>0</DocSecurity>
  <Lines>185</Lines>
  <Paragraphs>52</Paragraphs>
  <ScaleCrop>false</ScaleCrop>
  <Company/>
  <LinksUpToDate>false</LinksUpToDate>
  <CharactersWithSpaces>26077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6</cp:revision>
  <cp:lastPrinted>2022-05-17T12:31:00Z</cp:lastPrinted>
  <dcterms:created xsi:type="dcterms:W3CDTF">2022-05-31T11:35:00Z</dcterms:created>
  <dcterms:modified xsi:type="dcterms:W3CDTF">2022-06-06T05:56:00Z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