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4026D5" w:rsidP="003822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382280" w:rsidRPr="00B3351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382280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026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026D5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4026D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026D5" w:rsidRPr="004026D5">
              <w:rPr>
                <w:rFonts w:ascii="Times New Roman" w:hAnsi="Times New Roman" w:cs="Times New Roman"/>
                <w:sz w:val="28"/>
              </w:rPr>
              <w:t>106</w:t>
            </w:r>
            <w:r w:rsidR="00E705B3" w:rsidRPr="004026D5">
              <w:rPr>
                <w:rFonts w:ascii="Times New Roman" w:hAnsi="Times New Roman" w:cs="Times New Roman"/>
                <w:sz w:val="28"/>
              </w:rPr>
              <w:t>/</w:t>
            </w:r>
            <w:r w:rsidR="004026D5" w:rsidRPr="004026D5">
              <w:rPr>
                <w:rFonts w:ascii="Times New Roman" w:hAnsi="Times New Roman" w:cs="Times New Roman"/>
                <w:sz w:val="28"/>
              </w:rPr>
              <w:t>1272</w:t>
            </w:r>
            <w:r w:rsidR="00086973" w:rsidRPr="004026D5">
              <w:rPr>
                <w:rFonts w:ascii="Times New Roman" w:hAnsi="Times New Roman" w:cs="Times New Roman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  <w:bookmarkStart w:id="0" w:name="_GoBack"/>
      <w:bookmarkEnd w:id="0"/>
    </w:p>
    <w:p w:rsidR="00BC5A2A" w:rsidRPr="00BC5A2A" w:rsidRDefault="00BC5A2A" w:rsidP="00595081">
      <w:pPr>
        <w:ind w:firstLine="0"/>
      </w:pPr>
    </w:p>
    <w:p w:rsidR="00360F47" w:rsidRPr="009A3120" w:rsidRDefault="00360F47" w:rsidP="00E73C4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120">
        <w:rPr>
          <w:rFonts w:ascii="Times New Roman" w:hAnsi="Times New Roman" w:cs="Times New Roman"/>
          <w:b/>
          <w:sz w:val="28"/>
          <w:szCs w:val="28"/>
        </w:rPr>
        <w:t>О Календарном плане мероприятий по подготовке и проведению</w:t>
      </w:r>
    </w:p>
    <w:p w:rsidR="00382280" w:rsidRDefault="00382280" w:rsidP="00E73C4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выборов</w:t>
      </w:r>
      <w:r w:rsidR="00360F47" w:rsidRPr="009A3120">
        <w:rPr>
          <w:rFonts w:ascii="Times New Roman" w:hAnsi="Times New Roman" w:cs="Times New Roman"/>
          <w:b/>
          <w:sz w:val="28"/>
          <w:szCs w:val="28"/>
        </w:rPr>
        <w:t xml:space="preserve">, назначенных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единый день голосования </w:t>
      </w:r>
    </w:p>
    <w:p w:rsidR="00360F47" w:rsidRPr="009A3120" w:rsidRDefault="00382280" w:rsidP="00E73C4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360F47" w:rsidRPr="009A3120">
        <w:rPr>
          <w:rFonts w:ascii="Times New Roman" w:hAnsi="Times New Roman" w:cs="Times New Roman"/>
          <w:b/>
          <w:sz w:val="28"/>
          <w:szCs w:val="28"/>
        </w:rPr>
        <w:t xml:space="preserve"> сентября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360F47" w:rsidRPr="009A312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0F47" w:rsidRDefault="00360F47" w:rsidP="00E73C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5A2A" w:rsidRPr="00360F47" w:rsidRDefault="00BC5A2A" w:rsidP="00360F4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595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 xml:space="preserve">В связи с назначением </w:t>
      </w:r>
      <w:r w:rsidR="00382280" w:rsidRPr="00382280">
        <w:rPr>
          <w:rFonts w:ascii="Times New Roman" w:hAnsi="Times New Roman" w:cs="Times New Roman"/>
          <w:sz w:val="28"/>
          <w:szCs w:val="28"/>
        </w:rPr>
        <w:t xml:space="preserve">выборов депутатов </w:t>
      </w:r>
      <w:r w:rsidR="00382280" w:rsidRPr="00382280">
        <w:rPr>
          <w:rFonts w:ascii="Times New Roman" w:hAnsi="Times New Roman" w:cs="Times New Roman"/>
          <w:bCs/>
          <w:sz w:val="28"/>
          <w:szCs w:val="28"/>
        </w:rPr>
        <w:t>Совета муниципального образования Тбилисский район седьмого созыва</w:t>
      </w:r>
      <w:r w:rsidR="00382280" w:rsidRPr="00382280">
        <w:rPr>
          <w:rFonts w:ascii="Times New Roman" w:hAnsi="Times New Roman" w:cs="Times New Roman"/>
          <w:sz w:val="28"/>
          <w:szCs w:val="28"/>
        </w:rPr>
        <w:t xml:space="preserve">, выборов главы Алексее - Тенгинского сельского поселения Тбилисского района, главы Ловлинского сельского поселения Тбилисского района, главы Марьинского сельского </w:t>
      </w:r>
      <w:proofErr w:type="gramStart"/>
      <w:r w:rsidR="00382280" w:rsidRPr="00382280">
        <w:rPr>
          <w:rFonts w:ascii="Times New Roman" w:hAnsi="Times New Roman" w:cs="Times New Roman"/>
          <w:sz w:val="28"/>
          <w:szCs w:val="28"/>
        </w:rPr>
        <w:t>поселения Тбилисского района, дополнительных выборов депутата Совета Тбилисского сельского поселения Тбилисского района четвертого созыва по двухмандатному избирательному округу № 8</w:t>
      </w:r>
      <w:r w:rsidR="00595081">
        <w:rPr>
          <w:rFonts w:ascii="Times New Roman" w:hAnsi="Times New Roman" w:cs="Times New Roman"/>
          <w:sz w:val="28"/>
          <w:szCs w:val="28"/>
        </w:rPr>
        <w:t xml:space="preserve"> </w:t>
      </w:r>
      <w:r w:rsidRPr="00360F47">
        <w:rPr>
          <w:rFonts w:ascii="Times New Roman" w:hAnsi="Times New Roman" w:cs="Times New Roman"/>
          <w:sz w:val="28"/>
          <w:szCs w:val="28"/>
        </w:rPr>
        <w:t xml:space="preserve">на </w:t>
      </w:r>
      <w:r w:rsidR="00382280">
        <w:rPr>
          <w:rFonts w:ascii="Times New Roman" w:hAnsi="Times New Roman" w:cs="Times New Roman"/>
          <w:sz w:val="28"/>
          <w:szCs w:val="28"/>
        </w:rPr>
        <w:t>13</w:t>
      </w:r>
      <w:r w:rsidRPr="00360F47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382280">
        <w:rPr>
          <w:rFonts w:ascii="Times New Roman" w:hAnsi="Times New Roman" w:cs="Times New Roman"/>
          <w:sz w:val="28"/>
          <w:szCs w:val="28"/>
        </w:rPr>
        <w:t>20</w:t>
      </w:r>
      <w:r w:rsidRPr="00360F47">
        <w:rPr>
          <w:rFonts w:ascii="Times New Roman" w:hAnsi="Times New Roman" w:cs="Times New Roman"/>
          <w:sz w:val="28"/>
          <w:szCs w:val="28"/>
        </w:rPr>
        <w:t xml:space="preserve"> года, руководствуясь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года № 966-КЗ «О муниципальных выборах в</w:t>
      </w:r>
      <w:proofErr w:type="gramEnd"/>
      <w:r w:rsidRPr="00360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F47">
        <w:rPr>
          <w:rFonts w:ascii="Times New Roman" w:hAnsi="Times New Roman" w:cs="Times New Roman"/>
          <w:sz w:val="28"/>
          <w:szCs w:val="28"/>
        </w:rPr>
        <w:t xml:space="preserve">Краснодарском крае», постановлением избирательной комиссии Краснодарского края от </w:t>
      </w:r>
      <w:r w:rsidR="009A3120">
        <w:rPr>
          <w:rFonts w:ascii="Times New Roman" w:hAnsi="Times New Roman" w:cs="Times New Roman"/>
          <w:sz w:val="28"/>
          <w:szCs w:val="28"/>
        </w:rPr>
        <w:t>26 марта</w:t>
      </w:r>
      <w:r w:rsidRPr="00360F47">
        <w:rPr>
          <w:rFonts w:ascii="Times New Roman" w:hAnsi="Times New Roman" w:cs="Times New Roman"/>
          <w:sz w:val="28"/>
          <w:szCs w:val="28"/>
        </w:rPr>
        <w:t xml:space="preserve"> 2019</w:t>
      </w:r>
      <w:r w:rsidR="009A3120">
        <w:rPr>
          <w:rFonts w:ascii="Times New Roman" w:hAnsi="Times New Roman" w:cs="Times New Roman"/>
          <w:sz w:val="28"/>
          <w:szCs w:val="28"/>
        </w:rPr>
        <w:t xml:space="preserve"> года №88</w:t>
      </w:r>
      <w:r w:rsidRPr="00360F47">
        <w:rPr>
          <w:rFonts w:ascii="Times New Roman" w:hAnsi="Times New Roman" w:cs="Times New Roman"/>
          <w:sz w:val="28"/>
          <w:szCs w:val="28"/>
        </w:rPr>
        <w:t>/</w:t>
      </w:r>
      <w:r w:rsidR="009A3120">
        <w:rPr>
          <w:rFonts w:ascii="Times New Roman" w:hAnsi="Times New Roman" w:cs="Times New Roman"/>
          <w:sz w:val="28"/>
          <w:szCs w:val="28"/>
        </w:rPr>
        <w:t>796-6</w:t>
      </w:r>
      <w:r w:rsidRPr="00360F47">
        <w:rPr>
          <w:rFonts w:ascii="Times New Roman" w:hAnsi="Times New Roman" w:cs="Times New Roman"/>
          <w:sz w:val="28"/>
          <w:szCs w:val="28"/>
        </w:rPr>
        <w:t xml:space="preserve"> «</w:t>
      </w:r>
      <w:r w:rsidR="009A3120">
        <w:rPr>
          <w:rFonts w:ascii="Times New Roman" w:hAnsi="Times New Roman" w:cs="Times New Roman"/>
          <w:sz w:val="28"/>
          <w:szCs w:val="28"/>
        </w:rPr>
        <w:t>О внесении изменений в постановление избирательной комиссии Краснодарского края от 7 мая 2013 г</w:t>
      </w:r>
      <w:r w:rsidR="00E73C4A">
        <w:rPr>
          <w:rFonts w:ascii="Times New Roman" w:hAnsi="Times New Roman" w:cs="Times New Roman"/>
          <w:sz w:val="28"/>
          <w:szCs w:val="28"/>
        </w:rPr>
        <w:t>ода</w:t>
      </w:r>
      <w:r w:rsidR="009A3120">
        <w:rPr>
          <w:rFonts w:ascii="Times New Roman" w:hAnsi="Times New Roman" w:cs="Times New Roman"/>
          <w:sz w:val="28"/>
          <w:szCs w:val="28"/>
        </w:rPr>
        <w:t xml:space="preserve"> № 90/893-5 «</w:t>
      </w:r>
      <w:r w:rsidRPr="00360F47">
        <w:rPr>
          <w:rFonts w:ascii="Times New Roman" w:hAnsi="Times New Roman" w:cs="Times New Roman"/>
          <w:sz w:val="28"/>
          <w:szCs w:val="28"/>
        </w:rPr>
        <w:t xml:space="preserve">О примерном Календарном плане мероприятий по подготовке и проведению муниципальных выборов в Краснодарском крае»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360F47">
        <w:rPr>
          <w:rFonts w:ascii="Times New Roman" w:hAnsi="Times New Roman" w:cs="Times New Roman"/>
          <w:sz w:val="28"/>
          <w:szCs w:val="28"/>
        </w:rPr>
        <w:t xml:space="preserve"> РЕШИЛА:</w:t>
      </w:r>
      <w:proofErr w:type="gramEnd"/>
    </w:p>
    <w:p w:rsidR="00360F47" w:rsidRPr="00360F47" w:rsidRDefault="00360F47" w:rsidP="00360F47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1. Утвердить Календарный план</w:t>
      </w:r>
      <w:r w:rsidRPr="00360F47">
        <w:rPr>
          <w:rFonts w:ascii="Times New Roman" w:hAnsi="Times New Roman" w:cs="Times New Roman"/>
          <w:bCs/>
          <w:sz w:val="28"/>
          <w:szCs w:val="28"/>
        </w:rPr>
        <w:t xml:space="preserve"> мероприятий по подготовке и проведению </w:t>
      </w:r>
      <w:r w:rsidR="00B3460E">
        <w:rPr>
          <w:rFonts w:ascii="Times New Roman" w:hAnsi="Times New Roman" w:cs="Times New Roman"/>
          <w:bCs/>
          <w:sz w:val="28"/>
          <w:szCs w:val="28"/>
        </w:rPr>
        <w:t>муниципальных выборов</w:t>
      </w:r>
      <w:r w:rsidRPr="00360F47">
        <w:rPr>
          <w:rFonts w:ascii="Times New Roman" w:hAnsi="Times New Roman" w:cs="Times New Roman"/>
          <w:bCs/>
          <w:sz w:val="28"/>
          <w:szCs w:val="28"/>
        </w:rPr>
        <w:t xml:space="preserve">, назначенных на </w:t>
      </w:r>
      <w:r w:rsidR="00B3460E">
        <w:rPr>
          <w:rFonts w:ascii="Times New Roman" w:hAnsi="Times New Roman" w:cs="Times New Roman"/>
          <w:bCs/>
          <w:sz w:val="28"/>
          <w:szCs w:val="28"/>
        </w:rPr>
        <w:t>единый день голосования 13</w:t>
      </w:r>
      <w:r w:rsidRPr="00360F47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B3460E">
        <w:rPr>
          <w:rFonts w:ascii="Times New Roman" w:hAnsi="Times New Roman" w:cs="Times New Roman"/>
          <w:bCs/>
          <w:sz w:val="28"/>
          <w:szCs w:val="28"/>
        </w:rPr>
        <w:t>20</w:t>
      </w:r>
      <w:r w:rsidRPr="00360F47">
        <w:rPr>
          <w:rFonts w:ascii="Times New Roman" w:hAnsi="Times New Roman" w:cs="Times New Roman"/>
          <w:bCs/>
          <w:sz w:val="28"/>
          <w:szCs w:val="28"/>
        </w:rPr>
        <w:t xml:space="preserve"> года (прилагается).</w:t>
      </w:r>
    </w:p>
    <w:p w:rsidR="00360F47" w:rsidRPr="00360F47" w:rsidRDefault="00360F47" w:rsidP="00360F4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администрацию муниципального </w:t>
      </w:r>
      <w:r w:rsidRPr="00360F4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Тбилисский район для использования в работе. </w:t>
      </w:r>
    </w:p>
    <w:p w:rsidR="00360F47" w:rsidRPr="00360F47" w:rsidRDefault="00360F47" w:rsidP="00360F4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proofErr w:type="gramStart"/>
      <w:r w:rsidR="009A3120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60F4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0F47" w:rsidRDefault="00360F47" w:rsidP="00360F4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пунктов 2 и 3 настоящего решения возложить на секретаря территориальной избирательной комиссии </w:t>
      </w:r>
      <w:proofErr w:type="gramStart"/>
      <w:r w:rsidR="009A3120" w:rsidRPr="009A3120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9A3120">
        <w:rPr>
          <w:rFonts w:ascii="Times New Roman" w:hAnsi="Times New Roman" w:cs="Times New Roman"/>
          <w:sz w:val="28"/>
          <w:szCs w:val="28"/>
        </w:rPr>
        <w:t xml:space="preserve"> </w:t>
      </w:r>
      <w:r w:rsidR="009A3120" w:rsidRPr="009A3120">
        <w:rPr>
          <w:rFonts w:ascii="Times New Roman" w:hAnsi="Times New Roman" w:cs="Times New Roman"/>
          <w:sz w:val="28"/>
          <w:szCs w:val="28"/>
        </w:rPr>
        <w:t>А.Н. Шадрину</w:t>
      </w:r>
      <w:r w:rsidRPr="009A3120">
        <w:rPr>
          <w:rFonts w:ascii="Times New Roman" w:hAnsi="Times New Roman" w:cs="Times New Roman"/>
          <w:sz w:val="28"/>
          <w:szCs w:val="28"/>
        </w:rPr>
        <w:t>.</w:t>
      </w:r>
    </w:p>
    <w:p w:rsidR="00360F47" w:rsidRPr="00360F47" w:rsidRDefault="00360F47" w:rsidP="00E73C4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3969"/>
      </w:tblGrid>
      <w:tr w:rsidR="00B3460E" w:rsidRPr="007E4EFA" w:rsidTr="003B1456">
        <w:tc>
          <w:tcPr>
            <w:tcW w:w="4077" w:type="dxa"/>
            <w:hideMark/>
          </w:tcPr>
          <w:p w:rsidR="00B3460E" w:rsidRPr="00B3460E" w:rsidRDefault="00B3460E" w:rsidP="00B3460E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B3460E" w:rsidRPr="00B3460E" w:rsidRDefault="00B3460E" w:rsidP="00B3460E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B3460E" w:rsidRPr="00B3460E" w:rsidRDefault="00B3460E" w:rsidP="003B1F2A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60E" w:rsidRPr="007E4EFA" w:rsidTr="003B1456">
        <w:tc>
          <w:tcPr>
            <w:tcW w:w="4077" w:type="dxa"/>
            <w:hideMark/>
          </w:tcPr>
          <w:p w:rsidR="00B3460E" w:rsidRPr="00B3460E" w:rsidRDefault="00B3460E" w:rsidP="00B3460E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B3460E" w:rsidRPr="00B3460E" w:rsidRDefault="00B3460E" w:rsidP="00B3460E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B3460E" w:rsidRPr="00B3460E" w:rsidRDefault="00B3460E" w:rsidP="00B3460E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B3460E" w:rsidRPr="00B3460E" w:rsidRDefault="00B3460E" w:rsidP="003B1F2A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0E" w:rsidRPr="00B3460E" w:rsidRDefault="00B3460E" w:rsidP="003B1F2A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460E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75F26" w:rsidRDefault="00360F47" w:rsidP="00360F47">
      <w:pPr>
        <w:ind w:firstLine="709"/>
      </w:pPr>
    </w:p>
    <w:p w:rsidR="00360F47" w:rsidRPr="00375F26" w:rsidRDefault="00360F47" w:rsidP="00841CBE">
      <w:pPr>
        <w:ind w:firstLine="0"/>
      </w:pPr>
    </w:p>
    <w:sectPr w:rsidR="00360F47" w:rsidRPr="00375F26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55B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280"/>
    <w:rsid w:val="003828A8"/>
    <w:rsid w:val="003970CB"/>
    <w:rsid w:val="003B1456"/>
    <w:rsid w:val="003D1FD9"/>
    <w:rsid w:val="003E1858"/>
    <w:rsid w:val="004026D5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95081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3517"/>
    <w:rsid w:val="00B3460E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73C4A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32</cp:revision>
  <cp:lastPrinted>2020-06-19T08:38:00Z</cp:lastPrinted>
  <dcterms:created xsi:type="dcterms:W3CDTF">2018-03-07T13:19:00Z</dcterms:created>
  <dcterms:modified xsi:type="dcterms:W3CDTF">2020-06-19T08:39:00Z</dcterms:modified>
</cp:coreProperties>
</file>