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9503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9503D">
        <w:rPr>
          <w:b/>
          <w:szCs w:val="28"/>
        </w:rPr>
        <w:t>Чуприна Натальи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9503D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9503D">
        <w:rPr>
          <w:b/>
          <w:szCs w:val="28"/>
        </w:rPr>
        <w:t>трех</w:t>
      </w:r>
      <w:r w:rsidR="00163CC3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9503D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9503D">
        <w:rPr>
          <w:szCs w:val="28"/>
        </w:rPr>
        <w:t>Чуприна Н.И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9503D">
        <w:rPr>
          <w:szCs w:val="28"/>
        </w:rPr>
        <w:t>Геймановского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9503D">
        <w:rPr>
          <w:szCs w:val="28"/>
        </w:rPr>
        <w:t>трех</w:t>
      </w:r>
      <w:r w:rsidR="00163CC3">
        <w:rPr>
          <w:szCs w:val="28"/>
        </w:rPr>
        <w:t xml:space="preserve">мандатному </w:t>
      </w:r>
      <w:r w:rsidRPr="00385770">
        <w:rPr>
          <w:szCs w:val="28"/>
        </w:rPr>
        <w:t xml:space="preserve">избирательному округу № </w:t>
      </w:r>
      <w:r w:rsidR="00F9503D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9503D">
        <w:rPr>
          <w:szCs w:val="28"/>
        </w:rPr>
        <w:t>Чуприна Наталью Ивановну</w:t>
      </w:r>
      <w:r w:rsidRPr="00385770">
        <w:rPr>
          <w:szCs w:val="28"/>
        </w:rPr>
        <w:t>, 19</w:t>
      </w:r>
      <w:r w:rsidR="00F9503D">
        <w:rPr>
          <w:szCs w:val="28"/>
        </w:rPr>
        <w:t>68</w:t>
      </w:r>
      <w:r w:rsidRPr="00385770">
        <w:rPr>
          <w:szCs w:val="28"/>
        </w:rPr>
        <w:t xml:space="preserve"> г.р., </w:t>
      </w:r>
      <w:r w:rsidR="00F9503D">
        <w:rPr>
          <w:szCs w:val="28"/>
        </w:rPr>
        <w:t>временно неработающего</w:t>
      </w:r>
      <w:r w:rsidR="00163CC3" w:rsidRPr="00766CC2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F9503D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9503D">
        <w:rPr>
          <w:szCs w:val="28"/>
        </w:rPr>
        <w:t>трех</w:t>
      </w:r>
      <w:r w:rsidR="00163CC3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9503D">
        <w:rPr>
          <w:szCs w:val="28"/>
        </w:rPr>
        <w:t>3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9503D">
        <w:rPr>
          <w:szCs w:val="28"/>
        </w:rPr>
        <w:t>25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9503D">
        <w:rPr>
          <w:szCs w:val="28"/>
        </w:rPr>
        <w:t>Чуприна Н.И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F9503D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F9503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Чуприна</w:t>
            </w:r>
          </w:p>
          <w:p w:rsidR="001D5AAD" w:rsidRDefault="00F9503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Наталья Ивановна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F9503D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970B6">
              <w:rPr>
                <w:b/>
                <w:sz w:val="24"/>
              </w:rPr>
              <w:t>Тбилисского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F9503D">
              <w:rPr>
                <w:b/>
                <w:sz w:val="24"/>
              </w:rPr>
              <w:t>трех</w:t>
            </w:r>
            <w:r w:rsidR="00163CC3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F9503D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970B6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510F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53</cp:revision>
  <cp:lastPrinted>2019-07-20T13:06:00Z</cp:lastPrinted>
  <dcterms:created xsi:type="dcterms:W3CDTF">2019-06-26T14:33:00Z</dcterms:created>
  <dcterms:modified xsi:type="dcterms:W3CDTF">2019-07-20T13:06:00Z</dcterms:modified>
</cp:coreProperties>
</file>