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21</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 xml:space="preserve">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w:t>
      </w:r>
      <w:r w:rsidR="00E06197">
        <w:rPr>
          <w:rFonts w:ascii="Times New Roman" w:hAnsi="Times New Roman" w:cs="Times New Roman"/>
          <w:sz w:val="24"/>
          <w:szCs w:val="24"/>
        </w:rPr>
        <w:t>У</w:t>
      </w:r>
      <w:r w:rsidRPr="002D6CBC">
        <w:rPr>
          <w:rFonts w:ascii="Times New Roman" w:hAnsi="Times New Roman" w:cs="Times New Roman"/>
          <w:sz w:val="24"/>
          <w:szCs w:val="24"/>
        </w:rPr>
        <w:t>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532B34">
        <w:rPr>
          <w:rFonts w:ascii="Times New Roman" w:hAnsi="Times New Roman" w:cs="Times New Roman"/>
          <w:sz w:val="24"/>
          <w:szCs w:val="24"/>
        </w:rPr>
        <w:t xml:space="preserve">ведущего специалиста </w:t>
      </w:r>
      <w:r w:rsidR="00186DB7">
        <w:rPr>
          <w:rFonts w:ascii="Times New Roman" w:hAnsi="Times New Roman" w:cs="Times New Roman"/>
          <w:sz w:val="24"/>
          <w:szCs w:val="24"/>
        </w:rPr>
        <w:t>отдела делопроизводства и организационной работы организационно-правового управления</w:t>
      </w:r>
      <w:r w:rsidR="00532B34">
        <w:rPr>
          <w:rFonts w:ascii="Times New Roman" w:hAnsi="Times New Roman" w:cs="Times New Roman"/>
          <w:sz w:val="24"/>
          <w:szCs w:val="24"/>
        </w:rPr>
        <w:t xml:space="preserve"> </w:t>
      </w:r>
      <w:r w:rsidR="00F80432">
        <w:rPr>
          <w:rFonts w:ascii="Times New Roman" w:hAnsi="Times New Roman" w:cs="Times New Roman"/>
          <w:sz w:val="24"/>
          <w:szCs w:val="24"/>
        </w:rPr>
        <w:t>администрации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DA6449">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532B34">
        <w:rPr>
          <w:rFonts w:ascii="Times New Roman" w:hAnsi="Times New Roman" w:cs="Times New Roman"/>
          <w:sz w:val="24"/>
          <w:szCs w:val="24"/>
        </w:rPr>
        <w:t>сектор потребительской сферы отдела экономики</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Тбилисская,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2. Муниципальный служащий имеет право на: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за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средств краевого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E06197">
        <w:rPr>
          <w:rFonts w:ascii="Times New Roman" w:hAnsi="Times New Roman" w:cs="Times New Roman"/>
          <w:sz w:val="24"/>
          <w:szCs w:val="24"/>
        </w:rPr>
        <w:t>4350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532B34">
        <w:rPr>
          <w:rFonts w:ascii="Times New Roman" w:hAnsi="Times New Roman" w:cs="Times New Roman"/>
          <w:sz w:val="24"/>
          <w:szCs w:val="24"/>
        </w:rPr>
        <w:t>60</w:t>
      </w:r>
      <w:r w:rsidR="00DA6449">
        <w:rPr>
          <w:rFonts w:ascii="Times New Roman" w:hAnsi="Times New Roman" w:cs="Times New Roman"/>
          <w:sz w:val="24"/>
          <w:szCs w:val="24"/>
        </w:rPr>
        <w:t xml:space="preserve"> до </w:t>
      </w:r>
      <w:r w:rsidR="00532B34">
        <w:rPr>
          <w:rFonts w:ascii="Times New Roman" w:hAnsi="Times New Roman" w:cs="Times New Roman"/>
          <w:sz w:val="24"/>
          <w:szCs w:val="24"/>
        </w:rPr>
        <w:t>90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договор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спец/с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40204810400000000008 в ГРКЦ ГУ Банка России г.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0B0" w:rsidRDefault="001060B0">
      <w:r>
        <w:separator/>
      </w:r>
    </w:p>
  </w:endnote>
  <w:endnote w:type="continuationSeparator" w:id="0">
    <w:p w:rsidR="001060B0" w:rsidRDefault="00106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0B0" w:rsidRDefault="001060B0">
      <w:r>
        <w:separator/>
      </w:r>
    </w:p>
  </w:footnote>
  <w:footnote w:type="continuationSeparator" w:id="0">
    <w:p w:rsidR="001060B0" w:rsidRDefault="00106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B51E9E"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B51E9E"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186DB7">
      <w:rPr>
        <w:rStyle w:val="a4"/>
        <w:noProof/>
      </w:rPr>
      <w:t>3</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86DB7"/>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C37"/>
    <w:rsid w:val="009806C7"/>
    <w:rsid w:val="00981F5D"/>
    <w:rsid w:val="00997F7F"/>
    <w:rsid w:val="009A3B82"/>
    <w:rsid w:val="009A4B59"/>
    <w:rsid w:val="009A689D"/>
    <w:rsid w:val="009B1D7E"/>
    <w:rsid w:val="009C200A"/>
    <w:rsid w:val="009C341F"/>
    <w:rsid w:val="009C40DC"/>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1E9E"/>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ACA6B-CA4B-4869-AB24-A9F35AAC1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2109</Words>
  <Characters>15889</Characters>
  <Application>Microsoft Office Word</Application>
  <DocSecurity>0</DocSecurity>
  <Lines>132</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12</cp:revision>
  <cp:lastPrinted>2019-06-13T14:06:00Z</cp:lastPrinted>
  <dcterms:created xsi:type="dcterms:W3CDTF">2019-06-13T05:09:00Z</dcterms:created>
  <dcterms:modified xsi:type="dcterms:W3CDTF">2021-01-21T10:47:00Z</dcterms:modified>
</cp:coreProperties>
</file>