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4C1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2B169A" w:rsidRPr="002B169A">
              <w:rPr>
                <w:rFonts w:ascii="Times New Roman" w:hAnsi="Times New Roman"/>
                <w:sz w:val="28"/>
                <w:szCs w:val="28"/>
              </w:rPr>
              <w:t>Об утверждении Правил выдачи единого с</w:t>
            </w:r>
            <w:r w:rsidR="002B169A" w:rsidRPr="002B169A">
              <w:rPr>
                <w:rFonts w:ascii="Times New Roman" w:hAnsi="Times New Roman"/>
                <w:sz w:val="28"/>
                <w:szCs w:val="28"/>
              </w:rPr>
              <w:t>о</w:t>
            </w:r>
            <w:r w:rsidR="002B169A" w:rsidRPr="002B169A">
              <w:rPr>
                <w:rFonts w:ascii="Times New Roman" w:hAnsi="Times New Roman"/>
                <w:sz w:val="28"/>
                <w:szCs w:val="28"/>
              </w:rPr>
              <w:t>циального сертификата на получение двух и более муниципальных услуг в с</w:t>
            </w:r>
            <w:r w:rsidR="002B169A" w:rsidRPr="002B169A">
              <w:rPr>
                <w:rFonts w:ascii="Times New Roman" w:hAnsi="Times New Roman"/>
                <w:sz w:val="28"/>
                <w:szCs w:val="28"/>
              </w:rPr>
              <w:t>о</w:t>
            </w:r>
            <w:r w:rsidR="002B169A" w:rsidRPr="002B169A">
              <w:rPr>
                <w:rFonts w:ascii="Times New Roman" w:hAnsi="Times New Roman"/>
                <w:sz w:val="28"/>
                <w:szCs w:val="28"/>
              </w:rPr>
              <w:t>циальной сфере, отнесенных к полномочиям органов местного самоуправления 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2B1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B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9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bookmarkStart w:id="0" w:name="_GoBack"/>
            <w:bookmarkEnd w:id="0"/>
            <w:r w:rsidR="00930681">
              <w:rPr>
                <w:rFonts w:ascii="Times New Roman" w:hAnsi="Times New Roman" w:cs="Times New Roman"/>
                <w:sz w:val="28"/>
                <w:szCs w:val="28"/>
              </w:rPr>
              <w:t xml:space="preserve">ября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9B" w:rsidRDefault="0065749B">
      <w:r>
        <w:separator/>
      </w:r>
    </w:p>
  </w:endnote>
  <w:endnote w:type="continuationSeparator" w:id="0">
    <w:p w:rsidR="0065749B" w:rsidRDefault="0065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9B" w:rsidRDefault="0065749B">
      <w:r>
        <w:separator/>
      </w:r>
    </w:p>
  </w:footnote>
  <w:footnote w:type="continuationSeparator" w:id="0">
    <w:p w:rsidR="0065749B" w:rsidRDefault="0065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45D3A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169A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C1CA8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47736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749B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30681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3C4A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8E7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35304-6BF7-4314-B525-9C554FFA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50</cp:revision>
  <dcterms:created xsi:type="dcterms:W3CDTF">2021-12-06T12:52:00Z</dcterms:created>
  <dcterms:modified xsi:type="dcterms:W3CDTF">2024-12-18T10:33:00Z</dcterms:modified>
</cp:coreProperties>
</file>